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9718F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PersonalInfo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6B5CD7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Federica Barbieri</w:t>
            </w:r>
          </w:p>
        </w:tc>
      </w:tr>
      <w:tr w:rsidR="002A00A2" w:rsidRPr="009718F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A00A2" w:rsidRPr="009718F1" w:rsidRDefault="002A00A2">
            <w:pPr>
              <w:pStyle w:val="ECVComments"/>
              <w:rPr>
                <w:noProof/>
                <w:lang w:val="it-IT"/>
              </w:rPr>
            </w:pPr>
          </w:p>
        </w:tc>
      </w:tr>
      <w:tr w:rsidR="002A00A2" w:rsidRPr="00DE098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D72ED1">
            <w:pPr>
              <w:pStyle w:val="ECVLeftHeading"/>
              <w:rPr>
                <w:noProof/>
                <w:lang w:val="it-IT"/>
              </w:rPr>
            </w:pPr>
            <w:r>
              <w:rPr>
                <w:noProof/>
                <w:color w:val="333534"/>
                <w:lang w:val="en-US" w:eastAsia="en-US" w:bidi="ar-SA"/>
              </w:rPr>
              <w:drawing>
                <wp:inline distT="0" distB="0" distL="0" distR="0" wp14:anchorId="4A105195" wp14:editId="7B902927">
                  <wp:extent cx="838200" cy="807720"/>
                  <wp:effectExtent l="0" t="0" r="0" b="0"/>
                  <wp:docPr id="8" name="Immagine 8" descr="https://api.skype.com/users/fede.barbieri/profile/avatar?auth_key=-1593174196&amp;size=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i.skype.com/users/fede.barbieri/profile/avatar?auth_key=-1593174196&amp;size=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  <w:r w:rsidR="002E2410">
              <w:rPr>
                <w:noProof/>
                <w:lang w:val="it-IT"/>
              </w:rPr>
              <w:t xml:space="preserve">   </w:t>
            </w:r>
          </w:p>
        </w:tc>
        <w:tc>
          <w:tcPr>
            <w:tcW w:w="7541" w:type="dxa"/>
            <w:shd w:val="clear" w:color="auto" w:fill="auto"/>
          </w:tcPr>
          <w:p w:rsidR="002E2410" w:rsidRPr="002E2410" w:rsidRDefault="00172161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6192" behindDoc="0" locked="0" layoutInCell="1" allowOverlap="1" wp14:anchorId="3AA5157B" wp14:editId="6A35EF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410" w:rsidRPr="002E2410">
              <w:rPr>
                <w:sz w:val="20"/>
                <w:szCs w:val="20"/>
                <w:lang w:val="it-IT"/>
              </w:rPr>
              <w:t xml:space="preserve">Sezione di Farmacologia </w:t>
            </w:r>
          </w:p>
          <w:p w:rsidR="002E2410" w:rsidRDefault="002E2410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sz w:val="20"/>
                <w:szCs w:val="20"/>
                <w:lang w:val="it-IT"/>
              </w:rPr>
              <w:t>Di</w:t>
            </w:r>
            <w:r w:rsidR="00DE0981">
              <w:rPr>
                <w:sz w:val="20"/>
                <w:szCs w:val="20"/>
                <w:lang w:val="it-IT"/>
              </w:rPr>
              <w:t>.</w:t>
            </w:r>
            <w:r w:rsidRPr="002E2410">
              <w:rPr>
                <w:sz w:val="20"/>
                <w:szCs w:val="20"/>
                <w:lang w:val="it-IT"/>
              </w:rPr>
              <w:t>M</w:t>
            </w:r>
            <w:r w:rsidR="00DE0981">
              <w:rPr>
                <w:sz w:val="20"/>
                <w:szCs w:val="20"/>
                <w:lang w:val="it-IT"/>
              </w:rPr>
              <w:t>.</w:t>
            </w:r>
            <w:r w:rsidRPr="002E2410">
              <w:rPr>
                <w:sz w:val="20"/>
                <w:szCs w:val="20"/>
                <w:lang w:val="it-IT"/>
              </w:rPr>
              <w:t>I</w:t>
            </w:r>
            <w:r w:rsidR="00DE0981">
              <w:rPr>
                <w:sz w:val="20"/>
                <w:szCs w:val="20"/>
                <w:lang w:val="it-IT"/>
              </w:rPr>
              <w:t>.</w:t>
            </w:r>
            <w:r w:rsidRPr="002E2410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E2410">
              <w:rPr>
                <w:sz w:val="20"/>
                <w:szCs w:val="20"/>
                <w:lang w:val="it-IT"/>
              </w:rPr>
              <w:t>Dip</w:t>
            </w:r>
            <w:proofErr w:type="spellEnd"/>
            <w:r w:rsidRPr="002E2410">
              <w:rPr>
                <w:sz w:val="20"/>
                <w:szCs w:val="20"/>
                <w:lang w:val="it-IT"/>
              </w:rPr>
              <w:t>. Medicina Interna</w:t>
            </w:r>
          </w:p>
          <w:p w:rsidR="00364995" w:rsidRPr="002E2410" w:rsidRDefault="00364995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Centro di Eccellenza Ricerca Biomedica (CEBR)</w:t>
            </w:r>
          </w:p>
          <w:p w:rsidR="002E2410" w:rsidRPr="002E2410" w:rsidRDefault="002E2410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sz w:val="20"/>
                <w:szCs w:val="20"/>
                <w:lang w:val="it-IT"/>
              </w:rPr>
              <w:t xml:space="preserve">       Università di Genova</w:t>
            </w:r>
          </w:p>
          <w:p w:rsidR="002E2410" w:rsidRPr="002E2410" w:rsidRDefault="002E2410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sz w:val="20"/>
                <w:szCs w:val="20"/>
                <w:lang w:val="it-IT"/>
              </w:rPr>
              <w:t xml:space="preserve">       Viale Benedetto XV, 2</w:t>
            </w:r>
          </w:p>
          <w:p w:rsidR="002E2410" w:rsidRPr="002E2410" w:rsidRDefault="002E2410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sz w:val="20"/>
                <w:szCs w:val="20"/>
                <w:lang w:val="it-IT"/>
              </w:rPr>
              <w:t xml:space="preserve">      16132 Genova ITALY</w:t>
            </w:r>
          </w:p>
          <w:p w:rsidR="002E2410" w:rsidRPr="002E2410" w:rsidRDefault="002E2410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 w:rsidRPr="002E2410">
              <w:rPr>
                <w:sz w:val="20"/>
                <w:szCs w:val="20"/>
                <w:lang w:val="it-IT"/>
              </w:rPr>
              <w:t xml:space="preserve">         </w:t>
            </w:r>
          </w:p>
          <w:p w:rsidR="002E2410" w:rsidRPr="002E2410" w:rsidRDefault="00DE0981" w:rsidP="002E2410">
            <w:pPr>
              <w:pStyle w:val="ECVContactDetails1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Fax: +39 </w:t>
            </w:r>
            <w:r w:rsidR="002E2410" w:rsidRPr="002E2410">
              <w:rPr>
                <w:sz w:val="20"/>
                <w:szCs w:val="20"/>
                <w:lang w:val="it-IT"/>
              </w:rPr>
              <w:t xml:space="preserve">010.3538806 </w:t>
            </w:r>
          </w:p>
          <w:p w:rsidR="002A00A2" w:rsidRPr="002E2410" w:rsidRDefault="002A00A2">
            <w:pPr>
              <w:pStyle w:val="ECVContactDetails1"/>
              <w:rPr>
                <w:noProof/>
                <w:sz w:val="20"/>
                <w:szCs w:val="20"/>
                <w:lang w:val="it-IT"/>
              </w:rPr>
            </w:pPr>
          </w:p>
        </w:tc>
      </w:tr>
      <w:tr w:rsidR="006B5CD7" w:rsidRPr="00DE098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B5CD7" w:rsidRPr="009718F1" w:rsidRDefault="006B5CD7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1"/>
            </w:tblGrid>
            <w:tr w:rsidR="006B5CD7" w:rsidRPr="00DE0981" w:rsidTr="00EE3656">
              <w:trPr>
                <w:cantSplit/>
                <w:trHeight w:val="340"/>
              </w:trPr>
              <w:tc>
                <w:tcPr>
                  <w:tcW w:w="7541" w:type="dxa"/>
                  <w:shd w:val="clear" w:color="auto" w:fill="auto"/>
                </w:tcPr>
                <w:p w:rsidR="006B5CD7" w:rsidRPr="002E2410" w:rsidRDefault="0006765B" w:rsidP="00EE3656">
                  <w:pPr>
                    <w:tabs>
                      <w:tab w:val="right" w:pos="8218"/>
                    </w:tabs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</w:rPr>
                    <w:pict w14:anchorId="28E7B1B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0;margin-top:0;width:9.9pt;height:10.15pt;z-index:251658240;mso-wrap-distance-left:0;mso-wrap-distance-right:5.65pt;mso-position-horizontal-relative:text;mso-position-vertical-relative:text" filled="t">
                        <v:fill color2="black"/>
                        <v:imagedata r:id="rId12" o:title=""/>
                        <w10:wrap type="square"/>
                      </v:shape>
                    </w:pict>
                  </w:r>
                  <w:r w:rsidR="006B5CD7" w:rsidRPr="002E241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="002E2410" w:rsidRPr="002E2410">
                    <w:rPr>
                      <w:sz w:val="20"/>
                      <w:szCs w:val="20"/>
                      <w:lang w:val="it-IT"/>
                    </w:rPr>
                    <w:t>+39 010.353-</w:t>
                  </w:r>
                  <w:r w:rsidR="006B5CD7" w:rsidRPr="002E2410">
                    <w:rPr>
                      <w:sz w:val="20"/>
                      <w:szCs w:val="20"/>
                      <w:lang w:val="it-IT"/>
                    </w:rPr>
                    <w:t xml:space="preserve">8855/8884    </w:t>
                  </w:r>
                </w:p>
              </w:tc>
            </w:tr>
            <w:tr w:rsidR="006B5CD7" w:rsidRPr="00DE0981" w:rsidTr="00EE3656">
              <w:trPr>
                <w:cantSplit/>
                <w:trHeight w:val="340"/>
              </w:trPr>
              <w:tc>
                <w:tcPr>
                  <w:tcW w:w="7541" w:type="dxa"/>
                  <w:shd w:val="clear" w:color="auto" w:fill="auto"/>
                  <w:vAlign w:val="center"/>
                </w:tcPr>
                <w:p w:rsidR="006B5CD7" w:rsidRPr="002E2410" w:rsidRDefault="0006765B" w:rsidP="00EE3656">
                  <w:pPr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</w:rPr>
                    <w:pict w14:anchorId="5B9A079B">
                      <v:shape id="_x0000_s1027" type="#_x0000_t75" style="position:absolute;margin-left:0;margin-top:0;width:9.95pt;height:11.35pt;z-index:251659264;mso-wrap-distance-left:0;mso-wrap-distance-right:5.65pt;mso-position-horizontal-relative:text;mso-position-vertical-relative:text" filled="t">
                        <v:fill color2="black"/>
                        <v:imagedata r:id="rId13" o:title=""/>
                        <w10:wrap type="square"/>
                      </v:shape>
                    </w:pict>
                  </w:r>
                  <w:r w:rsidR="006B5CD7" w:rsidRPr="002E241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 w:rsidR="006B5CD7" w:rsidRPr="002E2410">
                    <w:rPr>
                      <w:rStyle w:val="ECVInternetLink"/>
                      <w:sz w:val="20"/>
                      <w:szCs w:val="20"/>
                      <w:lang w:val="it-IT"/>
                    </w:rPr>
                    <w:t>federica.barbieri@unige.it</w:t>
                  </w:r>
                  <w:r w:rsidR="006B5CD7" w:rsidRPr="002E2410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6B5CD7" w:rsidRPr="002E2410" w:rsidRDefault="006B5CD7" w:rsidP="00EE3656">
                  <w:pPr>
                    <w:rPr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6B5CD7" w:rsidRPr="002E2410" w:rsidRDefault="006B5CD7">
            <w:pPr>
              <w:rPr>
                <w:sz w:val="20"/>
                <w:szCs w:val="20"/>
                <w:lang w:val="it-IT"/>
              </w:rPr>
            </w:pPr>
          </w:p>
        </w:tc>
      </w:tr>
      <w:tr w:rsidR="006B5CD7" w:rsidRPr="00DE0981" w:rsidTr="00EE365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B5CD7" w:rsidRPr="009718F1" w:rsidRDefault="006B5CD7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6B5CD7" w:rsidRPr="002E2410" w:rsidRDefault="00AE07FA">
            <w:pPr>
              <w:rPr>
                <w:sz w:val="20"/>
                <w:szCs w:val="20"/>
                <w:lang w:val="it-IT"/>
              </w:rPr>
            </w:pPr>
            <w:r w:rsidRPr="002E2410">
              <w:rPr>
                <w:noProof/>
                <w:sz w:val="20"/>
                <w:szCs w:val="20"/>
                <w:lang w:val="en-US" w:eastAsia="en-US" w:bidi="ar-SA"/>
              </w:rPr>
              <w:drawing>
                <wp:anchor distT="0" distB="0" distL="0" distR="71755" simplePos="0" relativeHeight="251657216" behindDoc="0" locked="0" layoutInCell="1" allowOverlap="1" wp14:anchorId="7C9F05F2" wp14:editId="7BB4157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55880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00A2" w:rsidRPr="00CF2D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CF2DD3" w:rsidRPr="00CF2DD3" w:rsidRDefault="00CF2DD3">
            <w:pPr>
              <w:pStyle w:val="ECVContactDetails1"/>
              <w:rPr>
                <w:rStyle w:val="orcid-id1"/>
                <w:rFonts w:ascii="Arial" w:hAnsi="Arial" w:cs="Arial"/>
                <w:sz w:val="20"/>
                <w:szCs w:val="20"/>
                <w:lang w:val="en"/>
              </w:rPr>
            </w:pPr>
            <w:r w:rsidRPr="00CF2DD3">
              <w:rPr>
                <w:rStyle w:val="orcid-id1"/>
                <w:rFonts w:ascii="Arial" w:hAnsi="Arial" w:cs="Arial"/>
                <w:sz w:val="20"/>
                <w:szCs w:val="20"/>
                <w:lang w:val="en"/>
              </w:rPr>
              <w:t xml:space="preserve">ORCID </w:t>
            </w:r>
            <w:r>
              <w:rPr>
                <w:rStyle w:val="orcid-id1"/>
                <w:rFonts w:ascii="Arial" w:hAnsi="Arial" w:cs="Arial"/>
                <w:sz w:val="20"/>
                <w:szCs w:val="20"/>
                <w:lang w:val="en"/>
              </w:rPr>
              <w:t xml:space="preserve">ID: </w:t>
            </w:r>
            <w:r w:rsidRPr="00CF2DD3">
              <w:rPr>
                <w:rStyle w:val="orcid-id1"/>
                <w:rFonts w:ascii="Arial" w:hAnsi="Arial" w:cs="Arial"/>
                <w:sz w:val="20"/>
                <w:szCs w:val="20"/>
                <w:lang w:val="en"/>
              </w:rPr>
              <w:t>orcid.org/0000-0001-8988-6896</w:t>
            </w:r>
          </w:p>
          <w:p w:rsidR="00AE07FA" w:rsidRDefault="00CF2DD3">
            <w:pPr>
              <w:pStyle w:val="ECVContactDetails1"/>
              <w:rPr>
                <w:noProof/>
                <w:sz w:val="20"/>
                <w:szCs w:val="20"/>
                <w:lang w:val="en-US"/>
              </w:rPr>
            </w:pPr>
            <w:r w:rsidRPr="00CF2DD3">
              <w:rPr>
                <w:noProof/>
                <w:sz w:val="20"/>
                <w:szCs w:val="20"/>
                <w:lang w:val="en-US"/>
              </w:rPr>
              <w:t>Scopus Author ID: 7006991204</w:t>
            </w:r>
            <w:r w:rsidR="00AE07FA">
              <w:rPr>
                <w:rFonts w:ascii="Helvetica" w:hAnsi="Helvetica" w:cs="Arial"/>
                <w:color w:val="494A4C"/>
                <w:sz w:val="21"/>
                <w:szCs w:val="21"/>
                <w:lang w:val="en"/>
              </w:rPr>
              <w:br/>
            </w:r>
            <w:hyperlink r:id="rId15" w:tgtFrame="_blank" w:history="1">
              <w:r w:rsidR="00AE07FA" w:rsidRPr="00AE07FA">
                <w:rPr>
                  <w:rStyle w:val="Collegamentoipertestuale"/>
                  <w:rFonts w:ascii="Helvetica" w:hAnsi="Helvetica" w:cs="Arial"/>
                  <w:color w:val="auto"/>
                  <w:sz w:val="19"/>
                  <w:szCs w:val="21"/>
                  <w:u w:val="none"/>
                  <w:lang w:val="en"/>
                </w:rPr>
                <w:t>Researcher</w:t>
              </w:r>
              <w:r w:rsidR="00AE07FA">
                <w:rPr>
                  <w:rStyle w:val="Collegamentoipertestuale"/>
                  <w:rFonts w:ascii="Helvetica" w:hAnsi="Helvetica" w:cs="Arial"/>
                  <w:color w:val="auto"/>
                  <w:sz w:val="19"/>
                  <w:szCs w:val="21"/>
                  <w:u w:val="none"/>
                  <w:lang w:val="en"/>
                </w:rPr>
                <w:t xml:space="preserve"> </w:t>
              </w:r>
              <w:r w:rsidR="00AE07FA" w:rsidRPr="00AE07FA">
                <w:rPr>
                  <w:rStyle w:val="Collegamentoipertestuale"/>
                  <w:rFonts w:ascii="Helvetica" w:hAnsi="Helvetica" w:cs="Arial"/>
                  <w:color w:val="auto"/>
                  <w:sz w:val="19"/>
                  <w:szCs w:val="21"/>
                  <w:u w:val="none"/>
                  <w:lang w:val="en"/>
                </w:rPr>
                <w:t>ID: L-8753-2015</w:t>
              </w:r>
            </w:hyperlink>
            <w:r w:rsidR="00AE07FA" w:rsidRPr="00AE07FA">
              <w:rPr>
                <w:rFonts w:ascii="Helvetica" w:hAnsi="Helvetica" w:cs="Arial"/>
                <w:color w:val="auto"/>
                <w:sz w:val="19"/>
                <w:szCs w:val="21"/>
                <w:lang w:val="en"/>
              </w:rPr>
              <w:br/>
            </w:r>
            <w:hyperlink r:id="rId16" w:tgtFrame="_blank" w:history="1">
              <w:r w:rsidR="00AE07FA" w:rsidRPr="00AE07FA">
                <w:rPr>
                  <w:rStyle w:val="Collegamentoipertestuale"/>
                  <w:rFonts w:ascii="Helvetica" w:hAnsi="Helvetica" w:cs="Arial"/>
                  <w:color w:val="auto"/>
                  <w:sz w:val="19"/>
                  <w:szCs w:val="21"/>
                  <w:u w:val="none"/>
                  <w:lang w:val="en"/>
                </w:rPr>
                <w:t>Loop profile: 39369</w:t>
              </w:r>
            </w:hyperlink>
          </w:p>
          <w:p w:rsidR="00AE07FA" w:rsidRPr="00AE07FA" w:rsidRDefault="00AE07FA">
            <w:pPr>
              <w:pStyle w:val="ECVContactDetails1"/>
              <w:rPr>
                <w:noProof/>
                <w:sz w:val="20"/>
                <w:szCs w:val="20"/>
                <w:u w:val="single"/>
                <w:lang w:val="en-US"/>
              </w:rPr>
            </w:pPr>
            <w:r w:rsidRPr="00AE07FA">
              <w:rPr>
                <w:rStyle w:val="ECVInternetLink"/>
                <w:noProof/>
                <w:sz w:val="20"/>
                <w:szCs w:val="20"/>
                <w:lang w:val="en-US"/>
              </w:rPr>
              <w:t>https://www.researchgate.net/profile/Federica_Barbieri2</w:t>
            </w:r>
          </w:p>
          <w:p w:rsidR="00DE0981" w:rsidRPr="00CF2DD3" w:rsidRDefault="00DE0981" w:rsidP="00AE07FA">
            <w:pPr>
              <w:pStyle w:val="ECVContactDetails1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2A00A2" w:rsidRPr="00CF2D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CF2DD3" w:rsidRDefault="002A00A2">
            <w:pPr>
              <w:rPr>
                <w:noProof/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2A00A2" w:rsidRPr="00CF2DD3" w:rsidRDefault="002A00A2">
            <w:pPr>
              <w:pStyle w:val="ECVContactDetails1"/>
              <w:rPr>
                <w:noProof/>
                <w:lang w:val="en-US"/>
              </w:rPr>
            </w:pPr>
          </w:p>
        </w:tc>
      </w:tr>
      <w:tr w:rsidR="002A00A2" w:rsidRPr="00DE098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A00A2" w:rsidRPr="00CF2DD3" w:rsidRDefault="002A00A2">
            <w:pPr>
              <w:rPr>
                <w:noProof/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2A00A2" w:rsidP="006B5CD7">
            <w:pPr>
              <w:pStyle w:val="ECVGenderRow"/>
              <w:rPr>
                <w:noProof/>
                <w:lang w:val="it-IT"/>
              </w:rPr>
            </w:pPr>
            <w:r w:rsidRPr="009718F1">
              <w:rPr>
                <w:rStyle w:val="ECVHeadingContactDetails"/>
                <w:noProof/>
                <w:lang w:val="it-IT"/>
              </w:rPr>
              <w:t>Data di nascita</w:t>
            </w:r>
            <w:r w:rsidRPr="009718F1">
              <w:rPr>
                <w:noProof/>
                <w:lang w:val="it-IT"/>
              </w:rPr>
              <w:t xml:space="preserve"> </w:t>
            </w:r>
            <w:r w:rsidR="006B5CD7">
              <w:rPr>
                <w:rStyle w:val="ECVContactDetails"/>
                <w:noProof/>
                <w:lang w:val="it-IT"/>
              </w:rPr>
              <w:t>28/03/1964</w:t>
            </w:r>
            <w:r w:rsidRPr="009718F1">
              <w:rPr>
                <w:noProof/>
                <w:lang w:val="it-IT"/>
              </w:rPr>
              <w:t xml:space="preserve"> </w:t>
            </w:r>
            <w:r w:rsidRPr="009718F1">
              <w:rPr>
                <w:rStyle w:val="ECVHeadingContactDetails"/>
                <w:noProof/>
                <w:lang w:val="it-IT"/>
              </w:rPr>
              <w:t>| Nazionalità</w:t>
            </w:r>
            <w:r w:rsidRPr="009718F1">
              <w:rPr>
                <w:noProof/>
                <w:lang w:val="it-IT"/>
              </w:rPr>
              <w:t xml:space="preserve"> </w:t>
            </w:r>
            <w:r w:rsidR="006B5CD7">
              <w:rPr>
                <w:rStyle w:val="ECVContactDetails"/>
                <w:noProof/>
                <w:lang w:val="it-IT"/>
              </w:rPr>
              <w:t>Italiana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A00A2" w:rsidRPr="006B5CD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POSIZIONE RICOPERTA</w:t>
            </w:r>
          </w:p>
          <w:p w:rsidR="005E17DB" w:rsidRPr="005E17DB" w:rsidRDefault="005E17DB" w:rsidP="000D3A22">
            <w:pPr>
              <w:pStyle w:val="ECVLeftHeading"/>
              <w:rPr>
                <w:noProof/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A00A2" w:rsidRPr="009718F1" w:rsidRDefault="000D3A22">
            <w:pPr>
              <w:pStyle w:val="ECVNameField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Ricercatore Universitario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17216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DE0981" w:rsidTr="002E241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A00A2" w:rsidRPr="009718F1" w:rsidRDefault="006B5CD7" w:rsidP="006B5CD7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 2010</w:t>
            </w:r>
          </w:p>
        </w:tc>
        <w:tc>
          <w:tcPr>
            <w:tcW w:w="7540" w:type="dxa"/>
            <w:shd w:val="clear" w:color="auto" w:fill="auto"/>
          </w:tcPr>
          <w:p w:rsidR="000D3A22" w:rsidRDefault="006B5CD7" w:rsidP="006B5CD7">
            <w:pPr>
              <w:pStyle w:val="ECVSubSectionHeading"/>
              <w:rPr>
                <w:noProof/>
                <w:lang w:val="it-IT"/>
              </w:rPr>
            </w:pPr>
            <w:r w:rsidRPr="006B5CD7">
              <w:rPr>
                <w:noProof/>
                <w:lang w:val="it-IT"/>
              </w:rPr>
              <w:t xml:space="preserve">Ricercatore universitario a tempo indeterminato </w:t>
            </w:r>
            <w:r w:rsidR="000D3A22">
              <w:rPr>
                <w:noProof/>
                <w:lang w:val="it-IT"/>
              </w:rPr>
              <w:t>BIO/14</w:t>
            </w:r>
          </w:p>
          <w:p w:rsidR="002A00A2" w:rsidRPr="009718F1" w:rsidRDefault="006B5CD7" w:rsidP="008A5E94">
            <w:pPr>
              <w:pStyle w:val="ECVSubSectionHeading"/>
              <w:rPr>
                <w:noProof/>
                <w:lang w:val="it-IT"/>
              </w:rPr>
            </w:pPr>
            <w:r w:rsidRPr="000D3A22">
              <w:rPr>
                <w:noProof/>
                <w:sz w:val="20"/>
                <w:lang w:val="it-IT"/>
              </w:rPr>
              <w:t>Sez. Farmacologia</w:t>
            </w:r>
            <w:r w:rsidR="00407FC5">
              <w:rPr>
                <w:noProof/>
                <w:sz w:val="20"/>
                <w:lang w:val="it-IT"/>
              </w:rPr>
              <w:t>,</w:t>
            </w:r>
            <w:r w:rsidRPr="000D3A22">
              <w:rPr>
                <w:noProof/>
                <w:sz w:val="20"/>
                <w:lang w:val="it-IT"/>
              </w:rPr>
              <w:t xml:space="preserve"> Dip. Medicina Interna e Specialità Mediche - </w:t>
            </w:r>
            <w:r w:rsidR="008A5E94" w:rsidRPr="008A5E94">
              <w:rPr>
                <w:noProof/>
                <w:sz w:val="20"/>
                <w:lang w:val="it-IT"/>
              </w:rPr>
              <w:t>Scuola Scienze Mediche e Farmaceutiche</w:t>
            </w:r>
            <w:r w:rsidR="008A5E94">
              <w:rPr>
                <w:noProof/>
                <w:sz w:val="20"/>
                <w:lang w:val="it-IT"/>
              </w:rPr>
              <w:t xml:space="preserve"> </w:t>
            </w:r>
            <w:r w:rsidR="008A5E94" w:rsidRPr="008A5E94">
              <w:rPr>
                <w:noProof/>
                <w:sz w:val="20"/>
                <w:lang w:val="it-IT"/>
              </w:rPr>
              <w:t xml:space="preserve"> Centro di Eccellenza per la Ricerca Biomedica (CEBR) - Università di Genova</w:t>
            </w:r>
          </w:p>
        </w:tc>
      </w:tr>
      <w:tr w:rsidR="002A00A2" w:rsidRPr="00DE0981" w:rsidTr="002E241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2A00A2">
            <w:pPr>
              <w:pStyle w:val="ECVBusinessSectorRow"/>
              <w:rPr>
                <w:noProof/>
                <w:lang w:val="it-IT"/>
              </w:rPr>
            </w:pPr>
          </w:p>
        </w:tc>
      </w:tr>
      <w:tr w:rsidR="006B5CD7" w:rsidRPr="00DE0981" w:rsidTr="002E241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6B5CD7" w:rsidRPr="009718F1" w:rsidRDefault="00C043E1" w:rsidP="00C043E1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2004-2010</w:t>
            </w:r>
          </w:p>
        </w:tc>
        <w:tc>
          <w:tcPr>
            <w:tcW w:w="7540" w:type="dxa"/>
            <w:shd w:val="clear" w:color="auto" w:fill="auto"/>
          </w:tcPr>
          <w:p w:rsidR="006D1DAB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 xml:space="preserve">Assegnista di Ricerca </w:t>
            </w:r>
          </w:p>
          <w:p w:rsidR="006B5CD7" w:rsidRPr="009718F1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6D1DAB">
              <w:rPr>
                <w:noProof/>
                <w:sz w:val="20"/>
                <w:lang w:val="it-IT"/>
              </w:rPr>
              <w:t>Lab. Farmacologia e Neuroscienze</w:t>
            </w:r>
            <w:r w:rsidR="00407FC5">
              <w:rPr>
                <w:noProof/>
                <w:sz w:val="20"/>
                <w:lang w:val="it-IT"/>
              </w:rPr>
              <w:t>,</w:t>
            </w:r>
            <w:r w:rsidRPr="006D1DAB">
              <w:rPr>
                <w:noProof/>
                <w:sz w:val="20"/>
                <w:lang w:val="it-IT"/>
              </w:rPr>
              <w:t xml:space="preserve"> Dip. Oncologia, Biologia e Genetica - Università di Genova,</w:t>
            </w:r>
          </w:p>
        </w:tc>
      </w:tr>
      <w:tr w:rsidR="006B5CD7" w:rsidRPr="00DE0981" w:rsidTr="002E241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B5CD7" w:rsidRPr="009718F1" w:rsidRDefault="006B5CD7" w:rsidP="00EE3656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B5CD7" w:rsidRPr="009718F1" w:rsidRDefault="006B5CD7" w:rsidP="00C043E1">
            <w:pPr>
              <w:pStyle w:val="ECVBusinessSectorRow"/>
              <w:jc w:val="both"/>
              <w:rPr>
                <w:noProof/>
                <w:lang w:val="it-IT"/>
              </w:rPr>
            </w:pPr>
          </w:p>
        </w:tc>
      </w:tr>
      <w:tr w:rsidR="006B5CD7" w:rsidRPr="00DE0981" w:rsidTr="002E241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6B5CD7" w:rsidRPr="009718F1" w:rsidRDefault="00C043E1" w:rsidP="00C043E1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2001-2004</w:t>
            </w:r>
          </w:p>
        </w:tc>
        <w:tc>
          <w:tcPr>
            <w:tcW w:w="7540" w:type="dxa"/>
            <w:shd w:val="clear" w:color="auto" w:fill="auto"/>
          </w:tcPr>
          <w:p w:rsidR="006D1DAB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 xml:space="preserve">Ricercatore contrattista </w:t>
            </w:r>
          </w:p>
          <w:p w:rsidR="006B5CD7" w:rsidRPr="009718F1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6D1DAB">
              <w:rPr>
                <w:noProof/>
                <w:sz w:val="20"/>
                <w:lang w:val="it-IT"/>
              </w:rPr>
              <w:t>Lab. Farmacologia e Neuroscienze Dip. Oncologia, Biologia e Genetica - Università di Genova</w:t>
            </w:r>
          </w:p>
        </w:tc>
      </w:tr>
      <w:tr w:rsidR="006B5CD7" w:rsidRPr="00DE0981" w:rsidTr="002E241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B5CD7" w:rsidRPr="009718F1" w:rsidRDefault="006B5CD7" w:rsidP="00EE3656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B5CD7" w:rsidRPr="009718F1" w:rsidRDefault="006B5CD7" w:rsidP="00C043E1">
            <w:pPr>
              <w:pStyle w:val="ECVBusinessSectorRow"/>
              <w:jc w:val="both"/>
              <w:rPr>
                <w:noProof/>
                <w:lang w:val="it-IT"/>
              </w:rPr>
            </w:pPr>
            <w:r w:rsidRPr="009718F1">
              <w:rPr>
                <w:rStyle w:val="ECVContactDetails"/>
                <w:noProof/>
                <w:lang w:val="it-IT"/>
              </w:rPr>
              <w:t xml:space="preserve"> </w:t>
            </w:r>
          </w:p>
        </w:tc>
      </w:tr>
      <w:tr w:rsidR="006B5CD7" w:rsidRPr="006B5CD7" w:rsidTr="002E241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6B5CD7" w:rsidRPr="009718F1" w:rsidRDefault="00C043E1" w:rsidP="00EE365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1997-2000</w:t>
            </w:r>
          </w:p>
        </w:tc>
        <w:tc>
          <w:tcPr>
            <w:tcW w:w="7540" w:type="dxa"/>
            <w:shd w:val="clear" w:color="auto" w:fill="auto"/>
          </w:tcPr>
          <w:p w:rsidR="002E2410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 xml:space="preserve">Dottorato di Ricerca in Scienze Farmaceutiche </w:t>
            </w:r>
          </w:p>
          <w:p w:rsidR="006B5CD7" w:rsidRPr="009718F1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2E2410">
              <w:rPr>
                <w:noProof/>
                <w:sz w:val="20"/>
                <w:lang w:val="it-IT"/>
              </w:rPr>
              <w:t>Università di Genova</w:t>
            </w:r>
          </w:p>
        </w:tc>
      </w:tr>
      <w:tr w:rsidR="006B5CD7" w:rsidRPr="006B5CD7" w:rsidTr="002E241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B5CD7" w:rsidRPr="009718F1" w:rsidRDefault="006B5CD7" w:rsidP="00EE3656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6B5CD7" w:rsidRPr="009718F1" w:rsidRDefault="006B5CD7" w:rsidP="00C043E1">
            <w:pPr>
              <w:pStyle w:val="ECVBusinessSectorRow"/>
              <w:jc w:val="both"/>
              <w:rPr>
                <w:noProof/>
                <w:lang w:val="it-IT"/>
              </w:rPr>
            </w:pPr>
          </w:p>
        </w:tc>
      </w:tr>
      <w:tr w:rsidR="00C043E1" w:rsidRPr="00DE0981" w:rsidTr="002E241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043E1" w:rsidRPr="009718F1" w:rsidRDefault="00C043E1" w:rsidP="00EE365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1992-1996</w:t>
            </w:r>
          </w:p>
        </w:tc>
        <w:tc>
          <w:tcPr>
            <w:tcW w:w="7540" w:type="dxa"/>
            <w:shd w:val="clear" w:color="auto" w:fill="auto"/>
          </w:tcPr>
          <w:p w:rsidR="006D1DAB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 xml:space="preserve">Ricercatore contrattista (Ricerca Oncologica C.N.R.) </w:t>
            </w:r>
          </w:p>
          <w:p w:rsidR="00C043E1" w:rsidRPr="009718F1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6D1DAB">
              <w:rPr>
                <w:noProof/>
                <w:sz w:val="20"/>
                <w:lang w:val="it-IT"/>
              </w:rPr>
              <w:t>Lab. di Farmacologia Sperimentale - Istituto Nazionale per la Ricerca sul Cancro (IST) Genova</w:t>
            </w:r>
          </w:p>
        </w:tc>
      </w:tr>
      <w:tr w:rsidR="00C043E1" w:rsidRPr="00DE0981" w:rsidTr="002E2410">
        <w:trPr>
          <w:cantSplit/>
        </w:trPr>
        <w:tc>
          <w:tcPr>
            <w:tcW w:w="2835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C043E1" w:rsidRPr="009718F1" w:rsidRDefault="00C043E1" w:rsidP="00C043E1">
            <w:pPr>
              <w:pStyle w:val="ECVOrganisationDetails"/>
              <w:jc w:val="both"/>
              <w:rPr>
                <w:noProof/>
                <w:lang w:val="it-IT"/>
              </w:rPr>
            </w:pPr>
          </w:p>
        </w:tc>
      </w:tr>
      <w:tr w:rsidR="00C043E1" w:rsidRPr="00DE0981" w:rsidTr="002E2410">
        <w:trPr>
          <w:cantSplit/>
        </w:trPr>
        <w:tc>
          <w:tcPr>
            <w:tcW w:w="2835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0" w:type="dxa"/>
            <w:shd w:val="clear" w:color="auto" w:fill="auto"/>
          </w:tcPr>
          <w:p w:rsidR="00C043E1" w:rsidRPr="009718F1" w:rsidRDefault="00C043E1" w:rsidP="009901D9">
            <w:pPr>
              <w:pStyle w:val="ECVSectionBullet"/>
              <w:jc w:val="both"/>
              <w:rPr>
                <w:noProof/>
                <w:lang w:val="it-IT"/>
              </w:rPr>
            </w:pPr>
          </w:p>
        </w:tc>
      </w:tr>
      <w:tr w:rsidR="00C043E1" w:rsidRPr="00DE0981" w:rsidTr="002E2410">
        <w:trPr>
          <w:cantSplit/>
        </w:trPr>
        <w:tc>
          <w:tcPr>
            <w:tcW w:w="2835" w:type="dxa"/>
            <w:shd w:val="clear" w:color="auto" w:fill="auto"/>
          </w:tcPr>
          <w:p w:rsidR="00C043E1" w:rsidRPr="009718F1" w:rsidRDefault="00C043E1" w:rsidP="00EE365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1989-1991</w:t>
            </w:r>
          </w:p>
        </w:tc>
        <w:tc>
          <w:tcPr>
            <w:tcW w:w="7540" w:type="dxa"/>
            <w:shd w:val="clear" w:color="auto" w:fill="auto"/>
          </w:tcPr>
          <w:p w:rsidR="006D1DAB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 xml:space="preserve">Ricercatore, </w:t>
            </w:r>
            <w:r>
              <w:rPr>
                <w:noProof/>
                <w:lang w:val="it-IT"/>
              </w:rPr>
              <w:t>borsista</w:t>
            </w:r>
            <w:r w:rsidRPr="00C043E1">
              <w:rPr>
                <w:noProof/>
                <w:lang w:val="it-IT"/>
              </w:rPr>
              <w:t xml:space="preserve"> Associazione Italiana Ricerca Cancro (AIRC) </w:t>
            </w:r>
          </w:p>
          <w:p w:rsidR="00C043E1" w:rsidRPr="009718F1" w:rsidRDefault="00C043E1" w:rsidP="00C043E1">
            <w:pPr>
              <w:pStyle w:val="ECVSubSectionHeading"/>
              <w:jc w:val="both"/>
              <w:rPr>
                <w:noProof/>
                <w:lang w:val="it-IT"/>
              </w:rPr>
            </w:pPr>
            <w:r w:rsidRPr="006D1DAB">
              <w:rPr>
                <w:noProof/>
                <w:sz w:val="20"/>
                <w:lang w:val="it-IT"/>
              </w:rPr>
              <w:t>Lab. di Farmacologia Sperimentale- Istituto Nazionale per la Ricerca sul Cancro (IST) Genova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17216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>
      <w:pPr>
        <w:pStyle w:val="ECVComments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A00A2" w:rsidRPr="00DE0981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C043E1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2000</w:t>
            </w:r>
          </w:p>
        </w:tc>
        <w:tc>
          <w:tcPr>
            <w:tcW w:w="6237" w:type="dxa"/>
            <w:shd w:val="clear" w:color="auto" w:fill="auto"/>
          </w:tcPr>
          <w:p w:rsidR="002A00A2" w:rsidRPr="009718F1" w:rsidRDefault="009901D9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Dottore di R</w:t>
            </w:r>
            <w:r w:rsidR="00C043E1" w:rsidRPr="00C043E1">
              <w:rPr>
                <w:noProof/>
                <w:lang w:val="it-IT"/>
              </w:rPr>
              <w:t>icerca in Scienze Farmaceutiche</w:t>
            </w:r>
          </w:p>
        </w:tc>
        <w:tc>
          <w:tcPr>
            <w:tcW w:w="1305" w:type="dxa"/>
            <w:shd w:val="clear" w:color="auto" w:fill="auto"/>
          </w:tcPr>
          <w:p w:rsidR="002A00A2" w:rsidRPr="009718F1" w:rsidRDefault="002A00A2">
            <w:pPr>
              <w:pStyle w:val="ECVRightHeading"/>
              <w:rPr>
                <w:noProof/>
                <w:lang w:val="it-IT"/>
              </w:rPr>
            </w:pPr>
          </w:p>
        </w:tc>
      </w:tr>
      <w:tr w:rsidR="002A00A2" w:rsidRPr="00DE098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C043E1">
            <w:pPr>
              <w:pStyle w:val="ECVOrganisationDetails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>Università degli Studi di Genova</w:t>
            </w:r>
          </w:p>
        </w:tc>
      </w:tr>
      <w:tr w:rsidR="002A00A2" w:rsidRPr="00DE0981">
        <w:trPr>
          <w:cantSplit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A00A2" w:rsidRPr="009718F1" w:rsidRDefault="002A00A2" w:rsidP="009901D9">
            <w:pPr>
              <w:pStyle w:val="ECVSectionBullet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43E1" w:rsidRPr="009718F1" w:rsidRDefault="00C043E1" w:rsidP="009901D9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198</w:t>
            </w:r>
            <w:r w:rsidR="009901D9">
              <w:rPr>
                <w:noProof/>
                <w:lang w:val="it-IT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043E1" w:rsidRPr="009718F1" w:rsidRDefault="00C043E1" w:rsidP="00EE3656">
            <w:pPr>
              <w:pStyle w:val="ECVSubSectionHeading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>Abilitazione alla professione di biologo</w:t>
            </w:r>
          </w:p>
        </w:tc>
        <w:tc>
          <w:tcPr>
            <w:tcW w:w="1305" w:type="dxa"/>
            <w:shd w:val="clear" w:color="auto" w:fill="auto"/>
          </w:tcPr>
          <w:p w:rsidR="00C043E1" w:rsidRPr="009718F1" w:rsidRDefault="00C043E1" w:rsidP="00EE3656">
            <w:pPr>
              <w:pStyle w:val="ECVRightHeading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9901D9" w:rsidP="00EE3656">
            <w:pPr>
              <w:pStyle w:val="ECVOrganisationDetails"/>
              <w:rPr>
                <w:noProof/>
                <w:lang w:val="it-IT"/>
              </w:rPr>
            </w:pPr>
            <w:r w:rsidRPr="009901D9">
              <w:rPr>
                <w:noProof/>
                <w:lang w:val="it-IT"/>
              </w:rPr>
              <w:t>Università degli Studi di Genova</w:t>
            </w: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C043E1" w:rsidP="009901D9">
            <w:pPr>
              <w:pStyle w:val="ECVSectionBullet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43E1" w:rsidRPr="009718F1" w:rsidRDefault="00C043E1" w:rsidP="00EE365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1987</w:t>
            </w:r>
          </w:p>
        </w:tc>
        <w:tc>
          <w:tcPr>
            <w:tcW w:w="6237" w:type="dxa"/>
            <w:shd w:val="clear" w:color="auto" w:fill="auto"/>
          </w:tcPr>
          <w:p w:rsidR="00C043E1" w:rsidRPr="009718F1" w:rsidRDefault="009901D9" w:rsidP="00EE3656">
            <w:pPr>
              <w:pStyle w:val="ECVSubSectionHeading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Laurea di </w:t>
            </w:r>
            <w:r w:rsidR="00C043E1" w:rsidRPr="00C043E1">
              <w:rPr>
                <w:noProof/>
                <w:lang w:val="it-IT"/>
              </w:rPr>
              <w:t>Dottore in Scienze Biologiche – Indirizzo Biochimico</w:t>
            </w:r>
          </w:p>
        </w:tc>
        <w:tc>
          <w:tcPr>
            <w:tcW w:w="1305" w:type="dxa"/>
            <w:shd w:val="clear" w:color="auto" w:fill="auto"/>
          </w:tcPr>
          <w:p w:rsidR="00C043E1" w:rsidRPr="009718F1" w:rsidRDefault="00C043E1" w:rsidP="00EE3656">
            <w:pPr>
              <w:pStyle w:val="ECVRightHeading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C043E1" w:rsidP="00EE3656">
            <w:pPr>
              <w:pStyle w:val="ECVOrganisationDetails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>Università degli Studi di Genova</w:t>
            </w: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C043E1" w:rsidP="009901D9">
            <w:pPr>
              <w:pStyle w:val="ECVSectionBullet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043E1" w:rsidRPr="009718F1" w:rsidRDefault="009901D9" w:rsidP="00EE3656">
            <w:pPr>
              <w:pStyle w:val="ECVDat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1988</w:t>
            </w:r>
            <w:r w:rsidR="00C043E1">
              <w:rPr>
                <w:noProof/>
                <w:lang w:val="it-IT"/>
              </w:rPr>
              <w:t>-1989</w:t>
            </w:r>
          </w:p>
        </w:tc>
        <w:tc>
          <w:tcPr>
            <w:tcW w:w="6237" w:type="dxa"/>
            <w:shd w:val="clear" w:color="auto" w:fill="auto"/>
          </w:tcPr>
          <w:p w:rsidR="00C043E1" w:rsidRPr="009718F1" w:rsidRDefault="00C043E1" w:rsidP="00EE3656">
            <w:pPr>
              <w:pStyle w:val="ECVSubSectionHeading"/>
              <w:rPr>
                <w:noProof/>
                <w:lang w:val="it-IT"/>
              </w:rPr>
            </w:pPr>
            <w:r w:rsidRPr="00C043E1">
              <w:rPr>
                <w:noProof/>
                <w:lang w:val="it-IT"/>
              </w:rPr>
              <w:t>Tirocinio per l'abilitazione alla professione di Biologo</w:t>
            </w:r>
          </w:p>
        </w:tc>
        <w:tc>
          <w:tcPr>
            <w:tcW w:w="1305" w:type="dxa"/>
            <w:shd w:val="clear" w:color="auto" w:fill="auto"/>
          </w:tcPr>
          <w:p w:rsidR="00C043E1" w:rsidRPr="009718F1" w:rsidRDefault="00C043E1" w:rsidP="00EE3656">
            <w:pPr>
              <w:pStyle w:val="ECVRightHeading"/>
              <w:rPr>
                <w:noProof/>
                <w:lang w:val="it-IT"/>
              </w:rPr>
            </w:pP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9901D9" w:rsidP="00EE3656">
            <w:pPr>
              <w:pStyle w:val="ECVOrganisationDetails"/>
              <w:rPr>
                <w:noProof/>
                <w:lang w:val="it-IT"/>
              </w:rPr>
            </w:pPr>
            <w:r w:rsidRPr="009901D9">
              <w:rPr>
                <w:noProof/>
                <w:lang w:val="it-IT"/>
              </w:rPr>
              <w:t>Lab. di Farmacologia Sperimentale- Istituto Nazionale per la Ricerca sul Cancro (IST) Genova</w:t>
            </w:r>
          </w:p>
        </w:tc>
      </w:tr>
      <w:tr w:rsidR="00C043E1" w:rsidRPr="00DE0981" w:rsidTr="00EE3656">
        <w:trPr>
          <w:cantSplit/>
        </w:trPr>
        <w:tc>
          <w:tcPr>
            <w:tcW w:w="2834" w:type="dxa"/>
            <w:vMerge/>
            <w:shd w:val="clear" w:color="auto" w:fill="auto"/>
          </w:tcPr>
          <w:p w:rsidR="00C043E1" w:rsidRPr="009718F1" w:rsidRDefault="00C043E1" w:rsidP="00EE3656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043E1" w:rsidRPr="009718F1" w:rsidRDefault="00C043E1" w:rsidP="009901D9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9718F1">
        <w:trPr>
          <w:trHeight w:val="170"/>
        </w:trPr>
        <w:tc>
          <w:tcPr>
            <w:tcW w:w="2835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  <w:r w:rsidRPr="009718F1">
              <w:rPr>
                <w:caps w:val="0"/>
                <w:noProof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9718F1" w:rsidRDefault="00172161">
            <w:pPr>
              <w:pStyle w:val="ECVBlueBox"/>
              <w:rPr>
                <w:noProof/>
                <w:lang w:val="it-IT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9718F1">
              <w:rPr>
                <w:noProof/>
                <w:lang w:val="it-IT"/>
              </w:rPr>
              <w:t xml:space="preserve"> </w:t>
            </w:r>
          </w:p>
        </w:tc>
      </w:tr>
    </w:tbl>
    <w:p w:rsidR="002A00A2" w:rsidRPr="009718F1" w:rsidRDefault="002A00A2" w:rsidP="009901D9">
      <w:pPr>
        <w:pStyle w:val="ECVComments"/>
        <w:jc w:val="lef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A00A2" w:rsidRPr="006B5CD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9901D9">
            <w:pPr>
              <w:pStyle w:val="ECVSectionDetails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Italiano</w:t>
            </w:r>
          </w:p>
        </w:tc>
      </w:tr>
      <w:tr w:rsidR="002A00A2" w:rsidRPr="006B5CD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Heading"/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caps/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SCRITTA </w:t>
            </w:r>
          </w:p>
        </w:tc>
      </w:tr>
      <w:tr w:rsidR="002A00A2" w:rsidRPr="009718F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LanguageSubHeading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A00A2" w:rsidRPr="009718F1" w:rsidRDefault="002A00A2">
            <w:pPr>
              <w:pStyle w:val="ECVRightColumn"/>
              <w:rPr>
                <w:noProof/>
                <w:lang w:val="it-IT"/>
              </w:rPr>
            </w:pPr>
          </w:p>
        </w:tc>
      </w:tr>
      <w:tr w:rsidR="009901D9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901D9" w:rsidRPr="009718F1" w:rsidRDefault="009901D9" w:rsidP="009901D9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Inglese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A00A2" w:rsidRPr="009901D9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901D9" w:rsidRDefault="009901D9">
            <w:pPr>
              <w:pStyle w:val="ECVLanguageCertificate"/>
              <w:rPr>
                <w:noProof/>
                <w:lang w:val="en-US"/>
              </w:rPr>
            </w:pPr>
            <w:r w:rsidRPr="009901D9">
              <w:rPr>
                <w:noProof/>
                <w:lang w:val="en-US"/>
              </w:rPr>
              <w:t>First Centificate in English (University of Cambridge – 1981)</w:t>
            </w:r>
          </w:p>
        </w:tc>
      </w:tr>
      <w:tr w:rsidR="009901D9" w:rsidRPr="009718F1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901D9" w:rsidRPr="009718F1" w:rsidRDefault="009901D9" w:rsidP="009901D9">
            <w:pPr>
              <w:pStyle w:val="ECVLanguageName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Francese</w:t>
            </w:r>
            <w:r w:rsidRPr="009718F1">
              <w:rPr>
                <w:noProof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CF2DD3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901D9" w:rsidRDefault="009901D9" w:rsidP="009901D9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2A00A2" w:rsidRPr="006B5CD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A00A2" w:rsidRPr="009718F1" w:rsidRDefault="002A00A2">
            <w:pPr>
              <w:pStyle w:val="ECVLanguageCertificate"/>
              <w:rPr>
                <w:noProof/>
                <w:lang w:val="it-IT"/>
              </w:rPr>
            </w:pPr>
          </w:p>
        </w:tc>
      </w:tr>
      <w:tr w:rsidR="002A00A2" w:rsidRPr="00DE0981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rPr>
                <w:noProof/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 xml:space="preserve">Livelli: A1/2 Livello base - B1/2 Livello intermedio - C1/2 Livello avanzato </w:t>
            </w:r>
          </w:p>
          <w:p w:rsidR="002A00A2" w:rsidRPr="009718F1" w:rsidRDefault="002A00A2">
            <w:pPr>
              <w:pStyle w:val="ECVLanguageExplanation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Quadro Comune Europeo di Riferimento delle Lingue</w:t>
            </w: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DE098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>studi clinici e preclinici sui meccanismi di proliferazione tumorale</w:t>
            </w:r>
          </w:p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 xml:space="preserve"> analisi di potenziali farmaci ad attività antitumorale e valutazione dei meccanismi intracellulari coinvolti</w:t>
            </w:r>
          </w:p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 xml:space="preserve">studi sull'attività farmacologica in vitro e in vivo di composti di nuova sintesi. </w:t>
            </w:r>
          </w:p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>studi degli aspetti biomolecolari e farmacologici dei recettori e degli analoghi della somatostatina e della dopamina</w:t>
            </w:r>
          </w:p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 xml:space="preserve">studi dell’espressione delle </w:t>
            </w:r>
            <w:proofErr w:type="spellStart"/>
            <w:r w:rsidRPr="00395AF6">
              <w:rPr>
                <w:rFonts w:cs="Arial"/>
                <w:sz w:val="20"/>
                <w:lang w:val="it-IT"/>
              </w:rPr>
              <w:t>chemochine</w:t>
            </w:r>
            <w:proofErr w:type="spellEnd"/>
            <w:r w:rsidRPr="00395AF6">
              <w:rPr>
                <w:rFonts w:cs="Arial"/>
                <w:sz w:val="20"/>
                <w:lang w:val="it-IT"/>
              </w:rPr>
              <w:t xml:space="preserve"> e dei loro recettori in tumori cerebrali umani (glioblastoma, </w:t>
            </w:r>
            <w:proofErr w:type="spellStart"/>
            <w:r w:rsidRPr="00395AF6">
              <w:rPr>
                <w:rFonts w:cs="Arial"/>
                <w:sz w:val="20"/>
                <w:lang w:val="it-IT"/>
              </w:rPr>
              <w:t>meningioma</w:t>
            </w:r>
            <w:proofErr w:type="spellEnd"/>
            <w:r w:rsidRPr="00395AF6">
              <w:rPr>
                <w:rFonts w:cs="Arial"/>
                <w:sz w:val="20"/>
                <w:lang w:val="it-IT"/>
              </w:rPr>
              <w:t>, adenoma ipofisario), su tessuti tumorali, colture primarie e linee cellulari stabilizzate</w:t>
            </w:r>
          </w:p>
          <w:p w:rsidR="00395AF6" w:rsidRPr="00395AF6" w:rsidRDefault="00395AF6" w:rsidP="00395AF6">
            <w:pPr>
              <w:widowControl/>
              <w:numPr>
                <w:ilvl w:val="0"/>
                <w:numId w:val="2"/>
              </w:numPr>
              <w:tabs>
                <w:tab w:val="num" w:pos="209"/>
              </w:tabs>
              <w:suppressAutoHyphens w:val="0"/>
              <w:jc w:val="both"/>
              <w:rPr>
                <w:rFonts w:cs="Arial"/>
                <w:sz w:val="20"/>
                <w:lang w:val="it-IT"/>
              </w:rPr>
            </w:pPr>
            <w:r w:rsidRPr="00395AF6">
              <w:rPr>
                <w:rFonts w:cs="Arial"/>
                <w:sz w:val="20"/>
                <w:lang w:val="it-IT"/>
              </w:rPr>
              <w:t>isolamento e caratterizzazione di cellule staminali tumorali derivate da neoplasie umane (glioblastoma, mesotelioma), ed animali come modello per lo studio dell’attività farmacologica e dei meccanismi intracellulari di agenti antineoplastici innovativi</w:t>
            </w:r>
          </w:p>
          <w:p w:rsidR="002A00A2" w:rsidRPr="009718F1" w:rsidRDefault="002A00A2" w:rsidP="00634FB5">
            <w:pPr>
              <w:pStyle w:val="ECVSectionBullet"/>
              <w:rPr>
                <w:noProof/>
                <w:lang w:val="it-IT"/>
              </w:rPr>
            </w:pPr>
          </w:p>
        </w:tc>
      </w:tr>
    </w:tbl>
    <w:p w:rsidR="002A00A2" w:rsidRPr="009718F1" w:rsidRDefault="002A00A2">
      <w:pPr>
        <w:pStyle w:val="ECVText"/>
        <w:rPr>
          <w:noProof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DE098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:rsidR="002A00A2" w:rsidRPr="006A20B3" w:rsidRDefault="002A00A2" w:rsidP="006A20B3">
            <w:pPr>
              <w:pStyle w:val="ECVSectionBullet"/>
              <w:numPr>
                <w:ilvl w:val="0"/>
                <w:numId w:val="2"/>
              </w:numPr>
              <w:rPr>
                <w:noProof/>
                <w:sz w:val="20"/>
                <w:szCs w:val="20"/>
                <w:lang w:val="it-IT"/>
              </w:rPr>
            </w:pPr>
            <w:r w:rsidRPr="006A20B3">
              <w:rPr>
                <w:noProof/>
                <w:sz w:val="20"/>
                <w:szCs w:val="20"/>
                <w:lang w:val="it-IT"/>
              </w:rPr>
              <w:t xml:space="preserve">buona padronanza degli strumenti </w:t>
            </w:r>
            <w:r w:rsidR="006A20B3" w:rsidRPr="006A20B3">
              <w:rPr>
                <w:sz w:val="20"/>
                <w:szCs w:val="20"/>
                <w:lang w:val="it-IT"/>
              </w:rPr>
              <w:t xml:space="preserve">Microsoft Office™ </w:t>
            </w:r>
            <w:proofErr w:type="spellStart"/>
            <w:r w:rsidR="006A20B3" w:rsidRPr="006A20B3">
              <w:rPr>
                <w:sz w:val="20"/>
                <w:szCs w:val="20"/>
                <w:lang w:val="it-IT"/>
              </w:rPr>
              <w:t>tools</w:t>
            </w:r>
            <w:proofErr w:type="spellEnd"/>
            <w:r w:rsidR="006A20B3" w:rsidRPr="006A20B3">
              <w:rPr>
                <w:sz w:val="20"/>
                <w:szCs w:val="20"/>
                <w:lang w:val="it-IT"/>
              </w:rPr>
              <w:t xml:space="preserve">, image </w:t>
            </w:r>
            <w:proofErr w:type="spellStart"/>
            <w:r w:rsidR="006A20B3" w:rsidRPr="006A20B3">
              <w:rPr>
                <w:sz w:val="20"/>
                <w:szCs w:val="20"/>
                <w:lang w:val="it-IT"/>
              </w:rPr>
              <w:t>analysis</w:t>
            </w:r>
            <w:proofErr w:type="spellEnd"/>
            <w:r w:rsidR="006A20B3" w:rsidRPr="006A20B3">
              <w:rPr>
                <w:sz w:val="20"/>
                <w:szCs w:val="20"/>
                <w:lang w:val="it-IT"/>
              </w:rPr>
              <w:t xml:space="preserve"> software, Adobe Phot</w:t>
            </w:r>
            <w:r w:rsidR="00407FC5">
              <w:rPr>
                <w:sz w:val="20"/>
                <w:szCs w:val="20"/>
                <w:lang w:val="it-IT"/>
              </w:rPr>
              <w:t>o</w:t>
            </w:r>
            <w:r w:rsidR="006A20B3" w:rsidRPr="006A20B3">
              <w:rPr>
                <w:sz w:val="20"/>
                <w:szCs w:val="20"/>
                <w:lang w:val="it-IT"/>
              </w:rPr>
              <w:t xml:space="preserve">shop, software di grafica, </w:t>
            </w:r>
            <w:proofErr w:type="spellStart"/>
            <w:r w:rsidR="006A20B3" w:rsidRPr="006A20B3">
              <w:rPr>
                <w:sz w:val="20"/>
                <w:szCs w:val="20"/>
                <w:lang w:val="it-IT"/>
              </w:rPr>
              <w:t>CompusSyn</w:t>
            </w:r>
            <w:proofErr w:type="spellEnd"/>
            <w:r w:rsidR="006A20B3" w:rsidRPr="006A20B3"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 w:rsidR="006A20B3" w:rsidRPr="006A20B3">
              <w:rPr>
                <w:sz w:val="20"/>
                <w:szCs w:val="20"/>
                <w:lang w:val="it-IT"/>
              </w:rPr>
              <w:t>GraphPad</w:t>
            </w:r>
            <w:proofErr w:type="spellEnd"/>
            <w:r w:rsidR="006A20B3" w:rsidRPr="006A20B3">
              <w:rPr>
                <w:sz w:val="20"/>
                <w:szCs w:val="20"/>
                <w:lang w:val="it-IT"/>
              </w:rPr>
              <w:t xml:space="preserve"> and SSPS statistica software</w:t>
            </w:r>
          </w:p>
        </w:tc>
      </w:tr>
    </w:tbl>
    <w:p w:rsidR="002A00A2" w:rsidRPr="00CF2DD3" w:rsidRDefault="002A00A2" w:rsidP="00CF2DD3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A00A2" w:rsidRPr="00DE0981" w:rsidTr="00395AF6">
        <w:trPr>
          <w:cantSplit/>
          <w:trHeight w:val="710"/>
        </w:trPr>
        <w:tc>
          <w:tcPr>
            <w:tcW w:w="2834" w:type="dxa"/>
            <w:shd w:val="clear" w:color="auto" w:fill="auto"/>
          </w:tcPr>
          <w:p w:rsidR="002A00A2" w:rsidRPr="009718F1" w:rsidRDefault="002A00A2">
            <w:pPr>
              <w:pStyle w:val="ECVLeftDetails"/>
              <w:rPr>
                <w:noProof/>
                <w:lang w:val="it-IT"/>
              </w:rPr>
            </w:pPr>
            <w:r w:rsidRPr="009718F1">
              <w:rPr>
                <w:noProof/>
                <w:lang w:val="it-IT"/>
              </w:rPr>
              <w:lastRenderedPageBreak/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1E4D89" w:rsidRPr="00E57599" w:rsidRDefault="001E4D89" w:rsidP="001E4D89">
            <w:pPr>
              <w:pStyle w:val="ECVSectionDetails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>Ricerca in ambito biologico-molecolare e farmacologico preclinico</w:t>
            </w:r>
          </w:p>
          <w:p w:rsidR="001E4D89" w:rsidRPr="00E57599" w:rsidRDefault="001E4D89" w:rsidP="001E4D89">
            <w:pPr>
              <w:pStyle w:val="ECVSectionDetails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>Relatore a convegni nazionali e internazionali</w:t>
            </w:r>
          </w:p>
          <w:p w:rsidR="001E4D89" w:rsidRPr="00E57599" w:rsidRDefault="001E4D89" w:rsidP="001E4D89">
            <w:pPr>
              <w:pStyle w:val="ECVSectionDetails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>Collaborazioni con Laboratori italiani ed esteri</w:t>
            </w:r>
          </w:p>
          <w:p w:rsidR="001E4D89" w:rsidRPr="00E57599" w:rsidRDefault="001E4D89" w:rsidP="001E4D89">
            <w:pPr>
              <w:pStyle w:val="ECVSectionDetails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>Scrittura e presentazione di progetti di ricerca nazionali ed esteri</w:t>
            </w:r>
          </w:p>
          <w:p w:rsidR="001E4D89" w:rsidRPr="00E57599" w:rsidRDefault="001E4D89" w:rsidP="001E4D89">
            <w:pPr>
              <w:pStyle w:val="ECVSectionDetails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>Partecipazione ad “editorial boards” e attività di referee di riviste internazionali</w:t>
            </w:r>
          </w:p>
          <w:p w:rsidR="002A00A2" w:rsidRPr="00E57599" w:rsidRDefault="001E4D89" w:rsidP="006A20B3">
            <w:pPr>
              <w:pStyle w:val="ECVSectionBullet"/>
              <w:rPr>
                <w:noProof/>
                <w:sz w:val="20"/>
                <w:szCs w:val="20"/>
                <w:lang w:val="it-IT"/>
              </w:rPr>
            </w:pPr>
            <w:r w:rsidRPr="00E57599">
              <w:rPr>
                <w:noProof/>
                <w:sz w:val="20"/>
                <w:szCs w:val="20"/>
                <w:lang w:val="it-IT"/>
              </w:rPr>
              <w:t xml:space="preserve">Referee per assegnazione di grants nazionali </w:t>
            </w:r>
          </w:p>
          <w:p w:rsidR="00CF2DD3" w:rsidRPr="00E57599" w:rsidRDefault="00CF2DD3" w:rsidP="006A20B3">
            <w:pPr>
              <w:pStyle w:val="ECVSectionBullet"/>
              <w:rPr>
                <w:noProof/>
                <w:sz w:val="20"/>
                <w:szCs w:val="20"/>
                <w:lang w:val="it-I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1"/>
            </w:tblGrid>
            <w:tr w:rsidR="00CF2DD3" w:rsidRPr="00DE0981">
              <w:trPr>
                <w:trHeight w:val="437"/>
              </w:trPr>
              <w:tc>
                <w:tcPr>
                  <w:tcW w:w="7011" w:type="dxa"/>
                </w:tcPr>
                <w:p w:rsidR="00CF2DD3" w:rsidRPr="00E57599" w:rsidRDefault="00CF2DD3" w:rsidP="00DE0981">
                  <w:pPr>
                    <w:pStyle w:val="ECVSectionBullet"/>
                    <w:framePr w:vSpace="6" w:wrap="around" w:vAnchor="text" w:hAnchor="text" w:y="6"/>
                    <w:rPr>
                      <w:noProof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noProof/>
                      <w:sz w:val="20"/>
                      <w:szCs w:val="20"/>
                      <w:lang w:val="it-IT"/>
                    </w:rPr>
                    <w:t xml:space="preserve">PARTECIPAZIONE A COMMISSIONI GIUDICATRICI </w:t>
                  </w:r>
                </w:p>
                <w:p w:rsidR="00CF2DD3" w:rsidRPr="00E57599" w:rsidRDefault="00CF2DD3" w:rsidP="00DE0981">
                  <w:pPr>
                    <w:pStyle w:val="ECVSectionBullet"/>
                    <w:framePr w:vSpace="6" w:wrap="around" w:vAnchor="text" w:hAnchor="text" w:y="6"/>
                    <w:rPr>
                      <w:noProof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noProof/>
                      <w:sz w:val="20"/>
                      <w:szCs w:val="20"/>
                      <w:lang w:val="it-IT"/>
                    </w:rPr>
                    <w:t>-Esame di Ammissione per il Dottorato di Ricerca in Neuroscienze</w:t>
                  </w:r>
                  <w:r w:rsidR="00407FC5">
                    <w:rPr>
                      <w:noProof/>
                      <w:sz w:val="20"/>
                      <w:szCs w:val="20"/>
                      <w:lang w:val="it-IT"/>
                    </w:rPr>
                    <w:t xml:space="preserve"> </w:t>
                  </w:r>
                  <w:r w:rsidRPr="00E57599">
                    <w:rPr>
                      <w:noProof/>
                      <w:sz w:val="20"/>
                      <w:szCs w:val="20"/>
                      <w:lang w:val="it-IT"/>
                    </w:rPr>
                    <w:t xml:space="preserve">Università di Genova </w:t>
                  </w:r>
                </w:p>
                <w:p w:rsidR="00CF2DD3" w:rsidRPr="00E57599" w:rsidRDefault="00CF2DD3" w:rsidP="00DE0981">
                  <w:pPr>
                    <w:pStyle w:val="ECVSectionBullet"/>
                    <w:framePr w:vSpace="6" w:wrap="around" w:vAnchor="text" w:hAnchor="text" w:y="6"/>
                    <w:rPr>
                      <w:noProof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noProof/>
                      <w:sz w:val="20"/>
                      <w:szCs w:val="20"/>
                      <w:lang w:val="it-IT"/>
                    </w:rPr>
                    <w:t xml:space="preserve">-Valutazione Comparativa per Assegni di Ricerca, Area 05 - Università di Genova </w:t>
                  </w:r>
                </w:p>
              </w:tc>
            </w:tr>
          </w:tbl>
          <w:p w:rsidR="00CF2DD3" w:rsidRPr="00E57599" w:rsidRDefault="00CF2DD3" w:rsidP="006A20B3">
            <w:pPr>
              <w:pStyle w:val="ECVSectionBullet"/>
              <w:rPr>
                <w:noProof/>
                <w:sz w:val="20"/>
                <w:szCs w:val="20"/>
                <w:lang w:val="it-IT"/>
              </w:rPr>
            </w:pPr>
          </w:p>
          <w:p w:rsidR="00E57599" w:rsidRDefault="00CF2DD3" w:rsidP="006A20B3">
            <w:pPr>
              <w:pStyle w:val="ECVSectionBullet"/>
              <w:rPr>
                <w:b/>
                <w:noProof/>
                <w:sz w:val="20"/>
                <w:szCs w:val="20"/>
                <w:lang w:val="it-IT"/>
              </w:rPr>
            </w:pPr>
            <w:r w:rsidRPr="00E57599">
              <w:rPr>
                <w:b/>
                <w:noProof/>
                <w:sz w:val="20"/>
                <w:szCs w:val="20"/>
                <w:lang w:val="it-IT"/>
              </w:rPr>
              <w:t>ATTIVITA’ DIDATTICHE</w:t>
            </w:r>
            <w:r w:rsidR="00E57599">
              <w:rPr>
                <w:b/>
                <w:noProof/>
                <w:sz w:val="20"/>
                <w:szCs w:val="20"/>
                <w:lang w:val="it-IT"/>
              </w:rPr>
              <w:t xml:space="preserve"> </w:t>
            </w:r>
          </w:p>
          <w:p w:rsidR="006A20B3" w:rsidRPr="00E57599" w:rsidRDefault="00E57599" w:rsidP="006A20B3">
            <w:pPr>
              <w:pStyle w:val="ECVSectionBullet"/>
              <w:rPr>
                <w:b/>
                <w:noProof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it-IT"/>
              </w:rPr>
              <w:t>Insegnamenti di Farmacologia e Tossicologia nei seguenti Corsi di Laurea:</w:t>
            </w:r>
          </w:p>
          <w:tbl>
            <w:tblPr>
              <w:tblW w:w="10881" w:type="dxa"/>
              <w:tblLayout w:type="fixed"/>
              <w:tblLook w:val="0000" w:firstRow="0" w:lastRow="0" w:firstColumn="0" w:lastColumn="0" w:noHBand="0" w:noVBand="0"/>
            </w:tblPr>
            <w:tblGrid>
              <w:gridCol w:w="10881"/>
            </w:tblGrid>
            <w:tr w:rsidR="006A20B3" w:rsidRPr="00DE0981" w:rsidTr="00CF2DD3">
              <w:trPr>
                <w:trHeight w:val="227"/>
              </w:trPr>
              <w:tc>
                <w:tcPr>
                  <w:tcW w:w="10881" w:type="dxa"/>
                </w:tcPr>
                <w:p w:rsidR="006A20B3" w:rsidRPr="00C75B37" w:rsidRDefault="006A20B3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Scienze Infermieristiche</w:t>
                  </w:r>
                  <w:r w:rsidR="00C75B3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 (I-II e III anno)</w:t>
                  </w:r>
                </w:p>
                <w:p w:rsidR="006A20B3" w:rsidRPr="00C75B37" w:rsidRDefault="006A20B3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Ortottica e Assistenza Oftalmologica</w:t>
                  </w:r>
                </w:p>
                <w:p w:rsidR="006A20B3" w:rsidRPr="00C75B37" w:rsidRDefault="006A20B3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Tecnica della F</w:t>
                  </w:r>
                  <w:r w:rsidR="00C75B3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isiopatologia </w:t>
                  </w: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Cardiocircolato</w:t>
                  </w:r>
                  <w:r w:rsidR="00C75B3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ria, Perfusione </w:t>
                  </w:r>
                  <w:proofErr w:type="spellStart"/>
                  <w:r w:rsidR="00C75B37">
                    <w:rPr>
                      <w:rFonts w:cs="Arial"/>
                      <w:sz w:val="20"/>
                      <w:szCs w:val="20"/>
                      <w:lang w:val="it-IT"/>
                    </w:rPr>
                    <w:t>Cardiovasc</w:t>
                  </w:r>
                  <w:proofErr w:type="spellEnd"/>
                  <w:r w:rsidR="00C75B37">
                    <w:rPr>
                      <w:rFonts w:cs="Arial"/>
                      <w:sz w:val="20"/>
                      <w:szCs w:val="20"/>
                      <w:lang w:val="it-IT"/>
                    </w:rPr>
                    <w:t>. (II-II anno)</w:t>
                  </w:r>
                </w:p>
                <w:p w:rsidR="006A20B3" w:rsidRPr="00C75B37" w:rsidRDefault="006A20B3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proofErr w:type="spellStart"/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Dietistica</w:t>
                  </w:r>
                  <w:proofErr w:type="spellEnd"/>
                </w:p>
                <w:p w:rsidR="006A20B3" w:rsidRPr="00C75B37" w:rsidRDefault="006A20B3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Ostetricia</w:t>
                  </w:r>
                </w:p>
                <w:p w:rsidR="00CF2DD3" w:rsidRPr="00C75B37" w:rsidRDefault="00E57599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Terapia della Neuro- e </w:t>
                  </w:r>
                  <w:proofErr w:type="spellStart"/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Psico</w:t>
                  </w:r>
                  <w:proofErr w:type="spellEnd"/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-Motricità dell’età Evolutiva</w:t>
                  </w:r>
                </w:p>
                <w:p w:rsidR="00E57599" w:rsidRPr="00C75B37" w:rsidRDefault="00E57599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C75B37">
                    <w:rPr>
                      <w:rFonts w:cs="Arial"/>
                      <w:sz w:val="20"/>
                      <w:szCs w:val="20"/>
                      <w:lang w:val="it-IT"/>
                    </w:rPr>
                    <w:t>Tecnica della Riabilitazione Psichiatrica</w:t>
                  </w:r>
                </w:p>
                <w:p w:rsidR="00407FC5" w:rsidRPr="00C75B37" w:rsidRDefault="00407FC5" w:rsidP="00C75B37">
                  <w:pPr>
                    <w:pStyle w:val="Paragrafoelenco"/>
                    <w:framePr w:vSpace="6" w:wrap="around" w:vAnchor="text" w:hAnchor="text" w:y="6"/>
                    <w:numPr>
                      <w:ilvl w:val="0"/>
                      <w:numId w:val="5"/>
                    </w:numPr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C75B37">
                    <w:rPr>
                      <w:rFonts w:cs="Arial"/>
                      <w:bCs/>
                      <w:sz w:val="20"/>
                      <w:szCs w:val="20"/>
                    </w:rPr>
                    <w:t>Tecniche</w:t>
                  </w:r>
                  <w:proofErr w:type="spellEnd"/>
                  <w:r w:rsidRPr="00C75B37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5B37">
                    <w:rPr>
                      <w:rFonts w:cs="Arial"/>
                      <w:bCs/>
                      <w:sz w:val="20"/>
                      <w:szCs w:val="20"/>
                    </w:rPr>
                    <w:t>Audioprotesiche</w:t>
                  </w:r>
                  <w:proofErr w:type="spellEnd"/>
                </w:p>
                <w:p w:rsidR="00C75B37" w:rsidRPr="00407FC5" w:rsidRDefault="00C75B37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  <w:p w:rsidR="006A20B3" w:rsidRPr="00E57599" w:rsidRDefault="006A20B3" w:rsidP="00DE0981">
                  <w:pPr>
                    <w:framePr w:vSpace="6" w:wrap="around" w:vAnchor="text" w:hAnchor="text" w:y="6"/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rFonts w:cs="Arial"/>
                      <w:b/>
                      <w:sz w:val="20"/>
                      <w:szCs w:val="20"/>
                      <w:lang w:val="it-IT"/>
                    </w:rPr>
                    <w:t>ALTRE ATTIVITA’ DIDATTICHE</w:t>
                  </w:r>
                </w:p>
                <w:p w:rsidR="00407FC5" w:rsidRDefault="006A20B3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Docente del Dottorato di Ricerca in Neuroscienze della Scuola di Dottorato in Scienze e </w:t>
                  </w:r>
                </w:p>
                <w:p w:rsidR="006A20B3" w:rsidRPr="00E57599" w:rsidRDefault="006A20B3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rFonts w:cs="Arial"/>
                      <w:sz w:val="20"/>
                      <w:szCs w:val="20"/>
                      <w:lang w:val="it-IT"/>
                    </w:rPr>
                    <w:t>Tecnologie Biomediche (Università di Genova)</w:t>
                  </w:r>
                </w:p>
                <w:p w:rsidR="006A20B3" w:rsidRPr="00E57599" w:rsidRDefault="006A20B3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6A20B3" w:rsidRPr="00E57599" w:rsidRDefault="006C6A19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  <w:r w:rsidRPr="00E57599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Relatore e tutor </w:t>
                  </w:r>
                  <w:r w:rsidR="00CF2DD3" w:rsidRPr="00E57599">
                    <w:rPr>
                      <w:rFonts w:cs="Arial"/>
                      <w:sz w:val="20"/>
                      <w:szCs w:val="20"/>
                      <w:lang w:val="it-IT"/>
                    </w:rPr>
                    <w:t>Tesi di Laurea e Dottorato</w:t>
                  </w:r>
                </w:p>
                <w:p w:rsidR="006A20B3" w:rsidRPr="00E57599" w:rsidRDefault="006A20B3" w:rsidP="00DE0981">
                  <w:pPr>
                    <w:framePr w:vSpace="6" w:wrap="around" w:vAnchor="text" w:hAnchor="text" w:y="6"/>
                    <w:rPr>
                      <w:rFonts w:cs="Arial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6A20B3" w:rsidRPr="009718F1" w:rsidRDefault="006A20B3" w:rsidP="006A20B3">
            <w:pPr>
              <w:pStyle w:val="ECVSectionBullet"/>
              <w:rPr>
                <w:noProof/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A00A2" w:rsidRPr="00C86CD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C86CD8" w:rsidRDefault="002A00A2">
            <w:pPr>
              <w:pStyle w:val="ECVLeftHeading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caps w:val="0"/>
                <w:noProof/>
                <w:sz w:val="20"/>
                <w:szCs w:val="20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A00A2" w:rsidRPr="00C86CD8" w:rsidRDefault="00172161">
            <w:pPr>
              <w:pStyle w:val="ECVBlueBox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5344544E" wp14:editId="7F6317E9">
                  <wp:extent cx="4785360" cy="91440"/>
                  <wp:effectExtent l="0" t="0" r="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0A2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2A00A2" w:rsidRPr="00C86CD8" w:rsidRDefault="002A00A2">
      <w:pPr>
        <w:pStyle w:val="ECVText"/>
        <w:rPr>
          <w:rFonts w:cs="Arial"/>
          <w:noProof/>
          <w:sz w:val="20"/>
          <w:szCs w:val="20"/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2A00A2" w:rsidRPr="00C86CD8" w:rsidTr="006A20B3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A00A2" w:rsidRPr="00C86CD8" w:rsidRDefault="002A00A2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Pubblicazioni</w:t>
            </w:r>
            <w:r w:rsidR="009D21A4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(al  07/5016</w:t>
            </w:r>
            <w:r w:rsidR="006C6A19" w:rsidRPr="00C86CD8">
              <w:rPr>
                <w:rFonts w:cs="Arial"/>
                <w:noProof/>
                <w:sz w:val="20"/>
                <w:szCs w:val="20"/>
                <w:lang w:val="it-IT"/>
              </w:rPr>
              <w:t>)</w:t>
            </w:r>
          </w:p>
          <w:p w:rsidR="006A20B3" w:rsidRPr="00C86CD8" w:rsidRDefault="006A20B3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6A20B3" w:rsidRPr="00C86CD8" w:rsidRDefault="006A20B3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6A20B3" w:rsidRPr="00C86CD8" w:rsidRDefault="006A20B3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9D21A4" w:rsidRPr="00C86CD8" w:rsidRDefault="009D21A4" w:rsidP="006C6A19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937B6E" w:rsidRPr="00C86CD8" w:rsidRDefault="00937B6E" w:rsidP="006C6A19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2A00A2" w:rsidRPr="00C86CD8" w:rsidRDefault="002A00A2" w:rsidP="006C6A19">
            <w:pPr>
              <w:pStyle w:val="ECVLeft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Appartenenza a gruppi / associazioni</w:t>
            </w:r>
            <w:r w:rsidR="006A20B3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</w:t>
            </w:r>
            <w:r w:rsidR="006C6A19" w:rsidRPr="00C86CD8">
              <w:rPr>
                <w:rFonts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A20B3" w:rsidRPr="00C86CD8" w:rsidRDefault="009D21A4" w:rsidP="006A20B3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Autore di</w:t>
            </w:r>
            <w:r w:rsidR="00AE07FA">
              <w:rPr>
                <w:rFonts w:cs="Arial"/>
                <w:noProof/>
                <w:sz w:val="20"/>
                <w:szCs w:val="20"/>
                <w:lang w:val="it-IT"/>
              </w:rPr>
              <w:t xml:space="preserve"> </w:t>
            </w:r>
            <w:r w:rsidR="00223B5C">
              <w:rPr>
                <w:rFonts w:cs="Arial"/>
                <w:noProof/>
                <w:sz w:val="20"/>
                <w:szCs w:val="20"/>
                <w:lang w:val="it-IT"/>
              </w:rPr>
              <w:t>94</w:t>
            </w:r>
            <w:r w:rsidR="006A20B3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Pubblicazioni Scientifiche comprendenti:</w:t>
            </w:r>
          </w:p>
          <w:p w:rsidR="009D21A4" w:rsidRPr="00C86CD8" w:rsidRDefault="009D21A4" w:rsidP="006A20B3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- </w:t>
            </w:r>
            <w:r w:rsidR="00223B5C">
              <w:rPr>
                <w:rFonts w:cs="Arial"/>
                <w:noProof/>
                <w:sz w:val="20"/>
                <w:szCs w:val="20"/>
                <w:lang w:val="it-IT"/>
              </w:rPr>
              <w:t>73</w:t>
            </w: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Pubblicazioni in extenso </w:t>
            </w:r>
            <w:r w:rsidR="006A20B3" w:rsidRPr="00C86CD8">
              <w:rPr>
                <w:rFonts w:cs="Arial"/>
                <w:noProof/>
                <w:sz w:val="20"/>
                <w:szCs w:val="20"/>
                <w:lang w:val="it-IT"/>
              </w:rPr>
              <w:t>su riviste internazionali con Impact Factor</w:t>
            </w: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di cui 18 Reviews (10 con IF)</w:t>
            </w:r>
          </w:p>
          <w:p w:rsidR="002A00A2" w:rsidRPr="00C86CD8" w:rsidRDefault="009D21A4" w:rsidP="006A20B3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-</w:t>
            </w:r>
            <w:r w:rsidR="006A20B3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12 Comunicazioni brevi, Capitoli di libri e </w:t>
            </w:r>
            <w:r w:rsidR="006C6A19"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 </w:t>
            </w:r>
            <w:r w:rsidR="006A20B3" w:rsidRPr="00C86CD8">
              <w:rPr>
                <w:rFonts w:cs="Arial"/>
                <w:noProof/>
                <w:sz w:val="20"/>
                <w:szCs w:val="20"/>
                <w:lang w:val="it-IT"/>
              </w:rPr>
              <w:t>Atti di Congressi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7"/>
            </w:tblGrid>
            <w:tr w:rsidR="009D21A4" w:rsidRPr="00DE0981">
              <w:trPr>
                <w:trHeight w:val="211"/>
              </w:trPr>
              <w:tc>
                <w:tcPr>
                  <w:tcW w:w="6737" w:type="dxa"/>
                </w:tcPr>
                <w:p w:rsidR="00937B6E" w:rsidRPr="00C86CD8" w:rsidRDefault="009D21A4" w:rsidP="00DE0981">
                  <w:pPr>
                    <w:pStyle w:val="ECVSectionDetails"/>
                    <w:framePr w:vSpace="6" w:wrap="around" w:vAnchor="text" w:hAnchor="text" w:y="6"/>
                    <w:rPr>
                      <w:rFonts w:cs="Arial"/>
                      <w:noProof/>
                      <w:sz w:val="20"/>
                      <w:szCs w:val="20"/>
                      <w:lang w:val="it-IT"/>
                    </w:rPr>
                  </w:pPr>
                  <w:r w:rsidRPr="00C86CD8">
                    <w:rPr>
                      <w:rFonts w:cs="Arial"/>
                      <w:noProof/>
                      <w:sz w:val="20"/>
                      <w:szCs w:val="20"/>
                      <w:lang w:val="it-IT"/>
                    </w:rPr>
                    <w:t xml:space="preserve">INDICATORI BIBLIOMETRICI: </w:t>
                  </w:r>
                  <w:r w:rsidR="00937B6E" w:rsidRPr="00C86CD8">
                    <w:rPr>
                      <w:rFonts w:cs="Arial"/>
                      <w:noProof/>
                      <w:sz w:val="20"/>
                      <w:szCs w:val="20"/>
                      <w:lang w:val="it-IT"/>
                    </w:rPr>
                    <w:t>h index 2</w:t>
                  </w:r>
                  <w:r w:rsidR="008A4AE7">
                    <w:rPr>
                      <w:rFonts w:cs="Arial"/>
                      <w:noProof/>
                      <w:sz w:val="20"/>
                      <w:szCs w:val="20"/>
                      <w:lang w:val="it-IT"/>
                    </w:rPr>
                    <w:t>8</w:t>
                  </w:r>
                </w:p>
                <w:p w:rsidR="00937B6E" w:rsidRPr="00C86CD8" w:rsidRDefault="00937B6E" w:rsidP="00DE0981">
                  <w:pPr>
                    <w:pStyle w:val="ECVSectionDetails"/>
                    <w:framePr w:vSpace="6" w:wrap="around" w:vAnchor="text" w:hAnchor="text" w:y="6"/>
                    <w:rPr>
                      <w:rFonts w:cs="Arial"/>
                      <w:noProof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:rsidR="00937B6E" w:rsidRPr="00C86CD8" w:rsidRDefault="00937B6E" w:rsidP="00937B6E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 xml:space="preserve">Membro delle seguenti società scientifiche: </w:t>
            </w:r>
          </w:p>
          <w:p w:rsidR="00937B6E" w:rsidRPr="00C86CD8" w:rsidRDefault="00937B6E" w:rsidP="00937B6E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Società Italiana di Farmacologia</w:t>
            </w:r>
          </w:p>
          <w:p w:rsidR="006A20B3" w:rsidRPr="00C86CD8" w:rsidRDefault="00937B6E" w:rsidP="00937B6E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Associazione Italiana di Neuropatologia e Neurobiologia</w:t>
            </w:r>
          </w:p>
          <w:p w:rsidR="00937B6E" w:rsidRPr="00C86CD8" w:rsidRDefault="00937B6E" w:rsidP="00937B6E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  <w:p w:rsidR="009D21A4" w:rsidRPr="00C86CD8" w:rsidRDefault="006C6A19" w:rsidP="00327026">
            <w:pPr>
              <w:pStyle w:val="Eaoaeaa"/>
              <w:snapToGrid w:val="0"/>
              <w:spacing w:after="20"/>
              <w:ind w:right="283"/>
              <w:rPr>
                <w:rFonts w:ascii="Arial" w:hAnsi="Arial" w:cs="Arial"/>
                <w:lang w:val="it-IT"/>
              </w:rPr>
            </w:pPr>
            <w:r w:rsidRPr="00C86CD8">
              <w:rPr>
                <w:rFonts w:ascii="Arial" w:hAnsi="Arial" w:cs="Arial"/>
                <w:lang w:val="it-IT"/>
              </w:rPr>
              <w:t xml:space="preserve">Membro del Centro per lo Studio e Cura dei Tumori Cerebrali dal 2001-(Università di Genova, IRCCS-IST, </w:t>
            </w:r>
            <w:proofErr w:type="spellStart"/>
            <w:r w:rsidRPr="00C86CD8">
              <w:rPr>
                <w:rFonts w:ascii="Arial" w:hAnsi="Arial" w:cs="Arial"/>
                <w:lang w:val="it-IT"/>
              </w:rPr>
              <w:t>Osp</w:t>
            </w:r>
            <w:proofErr w:type="spellEnd"/>
            <w:r w:rsidRPr="00C86CD8">
              <w:rPr>
                <w:rFonts w:ascii="Arial" w:hAnsi="Arial" w:cs="Arial"/>
                <w:lang w:val="it-IT"/>
              </w:rPr>
              <w:t>. San Martino)</w:t>
            </w:r>
            <w:r w:rsidR="009D21A4" w:rsidRPr="00C86CD8">
              <w:rPr>
                <w:rFonts w:ascii="Arial" w:hAnsi="Arial" w:cs="Arial"/>
                <w:lang w:val="it-IT"/>
              </w:rPr>
              <w:t xml:space="preserve">, Membro </w:t>
            </w:r>
          </w:p>
          <w:p w:rsidR="006A20B3" w:rsidRPr="00C86CD8" w:rsidRDefault="006A20B3" w:rsidP="009D21A4">
            <w:pPr>
              <w:pStyle w:val="ECVSectionDetails"/>
              <w:rPr>
                <w:rFonts w:cs="Arial"/>
                <w:noProof/>
                <w:sz w:val="20"/>
                <w:szCs w:val="20"/>
                <w:lang w:val="it-IT"/>
              </w:rPr>
            </w:pPr>
          </w:p>
        </w:tc>
      </w:tr>
      <w:tr w:rsidR="0054163E" w:rsidRPr="00C86CD8" w:rsidTr="006A20B3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4163E" w:rsidRPr="00C86CD8" w:rsidRDefault="00C86CD8" w:rsidP="00223B5C">
            <w:pPr>
              <w:pStyle w:val="ECVLeftDetails"/>
              <w:jc w:val="center"/>
              <w:rPr>
                <w:rFonts w:cs="Arial"/>
                <w:b/>
                <w:noProof/>
                <w:sz w:val="20"/>
                <w:szCs w:val="20"/>
                <w:lang w:val="en-US"/>
              </w:rPr>
            </w:pPr>
            <w:r w:rsidRPr="00C86CD8">
              <w:rPr>
                <w:rFonts w:cs="Arial"/>
                <w:b/>
                <w:noProof/>
                <w:sz w:val="20"/>
                <w:szCs w:val="20"/>
                <w:lang w:val="en-US"/>
              </w:rPr>
              <w:t>PUBBLICAZIONI</w:t>
            </w:r>
            <w:r>
              <w:rPr>
                <w:rFonts w:cs="Arial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523962">
              <w:rPr>
                <w:rFonts w:cs="Arial"/>
                <w:b/>
                <w:noProof/>
                <w:sz w:val="20"/>
                <w:szCs w:val="20"/>
                <w:lang w:val="en-US"/>
              </w:rPr>
              <w:t>(2013</w:t>
            </w:r>
            <w:r w:rsidRPr="00C86CD8">
              <w:rPr>
                <w:rFonts w:cs="Arial"/>
                <w:b/>
                <w:noProof/>
                <w:sz w:val="20"/>
                <w:szCs w:val="20"/>
                <w:lang w:val="en-US"/>
              </w:rPr>
              <w:t>-</w:t>
            </w:r>
            <w:r w:rsidR="00223B5C">
              <w:rPr>
                <w:rFonts w:cs="Arial"/>
                <w:b/>
                <w:noProof/>
                <w:sz w:val="20"/>
                <w:szCs w:val="20"/>
                <w:lang w:val="en-US"/>
              </w:rPr>
              <w:t xml:space="preserve"> ad oggi</w:t>
            </w:r>
            <w:r w:rsidRPr="00C86CD8">
              <w:rPr>
                <w:rFonts w:cs="Arial"/>
                <w:b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7541" w:type="dxa"/>
            <w:shd w:val="clear" w:color="auto" w:fill="auto"/>
          </w:tcPr>
          <w:p w:rsidR="0054163E" w:rsidRPr="00C86CD8" w:rsidRDefault="0054163E" w:rsidP="00FD6654">
            <w:pPr>
              <w:pStyle w:val="ECVSectionBullet"/>
              <w:rPr>
                <w:rFonts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34FB5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 xml:space="preserve">1: </w:t>
      </w:r>
      <w:proofErr w:type="spellStart"/>
      <w:r w:rsidRPr="00634FB5">
        <w:rPr>
          <w:rFonts w:cs="Arial"/>
          <w:sz w:val="20"/>
          <w:szCs w:val="20"/>
          <w:lang w:val="en-US"/>
        </w:rPr>
        <w:t>Pattarozzi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A, </w:t>
      </w:r>
      <w:proofErr w:type="spellStart"/>
      <w:r w:rsidRPr="00634FB5">
        <w:rPr>
          <w:rFonts w:cs="Arial"/>
          <w:sz w:val="20"/>
          <w:szCs w:val="20"/>
          <w:lang w:val="en-US"/>
        </w:rPr>
        <w:t>Carra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E, </w:t>
      </w:r>
      <w:proofErr w:type="spellStart"/>
      <w:r w:rsidRPr="00634FB5">
        <w:rPr>
          <w:rFonts w:cs="Arial"/>
          <w:sz w:val="20"/>
          <w:szCs w:val="20"/>
          <w:lang w:val="en-US"/>
        </w:rPr>
        <w:t>Favoni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RE, </w:t>
      </w:r>
      <w:proofErr w:type="spellStart"/>
      <w:r w:rsidRPr="00634FB5">
        <w:rPr>
          <w:rFonts w:cs="Arial"/>
          <w:sz w:val="20"/>
          <w:szCs w:val="20"/>
          <w:lang w:val="en-US"/>
        </w:rPr>
        <w:t>Würth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R, </w:t>
      </w:r>
      <w:proofErr w:type="spellStart"/>
      <w:r w:rsidRPr="00634FB5">
        <w:rPr>
          <w:rFonts w:cs="Arial"/>
          <w:sz w:val="20"/>
          <w:szCs w:val="20"/>
          <w:lang w:val="en-US"/>
        </w:rPr>
        <w:t>Marubbi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D, </w:t>
      </w:r>
      <w:proofErr w:type="spellStart"/>
      <w:r w:rsidRPr="00634FB5">
        <w:rPr>
          <w:rFonts w:cs="Arial"/>
          <w:sz w:val="20"/>
          <w:szCs w:val="20"/>
          <w:lang w:val="en-US"/>
        </w:rPr>
        <w:t>Filiberti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RA, </w:t>
      </w:r>
      <w:proofErr w:type="spellStart"/>
      <w:r w:rsidRPr="00634FB5">
        <w:rPr>
          <w:rFonts w:cs="Arial"/>
          <w:sz w:val="20"/>
          <w:szCs w:val="20"/>
          <w:lang w:val="en-US"/>
        </w:rPr>
        <w:t>Mutti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L,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Florio T, </w:t>
      </w:r>
      <w:proofErr w:type="spellStart"/>
      <w:r w:rsidRPr="00523962">
        <w:rPr>
          <w:rFonts w:cs="Arial"/>
          <w:b/>
          <w:sz w:val="20"/>
          <w:szCs w:val="20"/>
        </w:rPr>
        <w:t>Barbieri</w:t>
      </w:r>
      <w:proofErr w:type="spellEnd"/>
      <w:r w:rsidRPr="00523962">
        <w:rPr>
          <w:rFonts w:cs="Arial"/>
          <w:b/>
          <w:sz w:val="20"/>
          <w:szCs w:val="20"/>
        </w:rPr>
        <w:t xml:space="preserve"> F</w:t>
      </w:r>
      <w:r w:rsidRPr="00523962">
        <w:rPr>
          <w:rFonts w:cs="Arial"/>
          <w:sz w:val="20"/>
          <w:szCs w:val="20"/>
        </w:rPr>
        <w:t xml:space="preserve">, </w:t>
      </w:r>
      <w:proofErr w:type="spellStart"/>
      <w:r w:rsidRPr="00523962">
        <w:rPr>
          <w:rFonts w:cs="Arial"/>
          <w:sz w:val="20"/>
          <w:szCs w:val="20"/>
        </w:rPr>
        <w:t>Daga</w:t>
      </w:r>
      <w:proofErr w:type="spellEnd"/>
      <w:r w:rsidRPr="00523962">
        <w:rPr>
          <w:rFonts w:cs="Arial"/>
          <w:sz w:val="20"/>
          <w:szCs w:val="20"/>
        </w:rPr>
        <w:t xml:space="preserve"> A. 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The inhibition of FGF receptor 1 activity mediates </w:t>
      </w:r>
      <w:proofErr w:type="spellStart"/>
      <w:r w:rsidRPr="00523962">
        <w:rPr>
          <w:rFonts w:cs="Arial"/>
          <w:sz w:val="20"/>
          <w:szCs w:val="20"/>
        </w:rPr>
        <w:t>sorafenib</w:t>
      </w:r>
      <w:proofErr w:type="spellEnd"/>
      <w:r w:rsidRPr="00523962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antiproliferative</w:t>
      </w:r>
      <w:proofErr w:type="spellEnd"/>
      <w:r w:rsidRPr="00523962">
        <w:rPr>
          <w:rFonts w:cs="Arial"/>
          <w:sz w:val="20"/>
          <w:szCs w:val="20"/>
        </w:rPr>
        <w:t xml:space="preserve"> effects in human malignant pleural mesothelioma</w:t>
      </w:r>
      <w:r w:rsidR="00634FB5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 xml:space="preserve">-initiating cells. Stem Cell Res </w:t>
      </w:r>
      <w:proofErr w:type="spellStart"/>
      <w:r w:rsidRPr="00523962">
        <w:rPr>
          <w:rFonts w:cs="Arial"/>
          <w:sz w:val="20"/>
          <w:szCs w:val="20"/>
        </w:rPr>
        <w:t>Ther</w:t>
      </w:r>
      <w:proofErr w:type="spellEnd"/>
      <w:r w:rsidRPr="00523962">
        <w:rPr>
          <w:rFonts w:cs="Arial"/>
          <w:sz w:val="20"/>
          <w:szCs w:val="20"/>
        </w:rPr>
        <w:t xml:space="preserve">. 2017 May 25;8(1):119. 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</w:p>
    <w:p w:rsidR="00634FB5" w:rsidRPr="00634FB5" w:rsidRDefault="00523962" w:rsidP="00634FB5">
      <w:pPr>
        <w:ind w:right="453"/>
        <w:jc w:val="both"/>
        <w:rPr>
          <w:rFonts w:cs="Arial"/>
          <w:sz w:val="20"/>
          <w:szCs w:val="20"/>
          <w:lang w:val="it-IT"/>
        </w:rPr>
      </w:pPr>
      <w:r w:rsidRPr="00634FB5">
        <w:rPr>
          <w:rFonts w:cs="Arial"/>
          <w:sz w:val="20"/>
          <w:szCs w:val="20"/>
          <w:lang w:val="it-IT"/>
        </w:rPr>
        <w:t xml:space="preserve">2: Mohamed A, Romano D, </w:t>
      </w:r>
      <w:proofErr w:type="spellStart"/>
      <w:r w:rsidRPr="00634FB5">
        <w:rPr>
          <w:rFonts w:cs="Arial"/>
          <w:sz w:val="20"/>
          <w:szCs w:val="20"/>
          <w:lang w:val="it-IT"/>
        </w:rPr>
        <w:t>Saveanu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A, Roche C, Albertelli M, </w:t>
      </w:r>
      <w:r w:rsidRPr="00634FB5">
        <w:rPr>
          <w:rFonts w:cs="Arial"/>
          <w:b/>
          <w:sz w:val="20"/>
          <w:szCs w:val="20"/>
          <w:lang w:val="it-IT"/>
        </w:rPr>
        <w:t>Barbieri F</w:t>
      </w:r>
      <w:r w:rsidRPr="00634FB5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634FB5">
        <w:rPr>
          <w:rFonts w:cs="Arial"/>
          <w:sz w:val="20"/>
          <w:szCs w:val="20"/>
          <w:lang w:val="it-IT"/>
        </w:rPr>
        <w:t>Brue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T,</w:t>
      </w:r>
      <w:r w:rsidR="00634FB5" w:rsidRPr="00634FB5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634FB5">
        <w:rPr>
          <w:rFonts w:cs="Arial"/>
          <w:sz w:val="20"/>
          <w:szCs w:val="20"/>
          <w:lang w:val="it-IT"/>
        </w:rPr>
        <w:t>Niccoli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P, </w:t>
      </w:r>
      <w:proofErr w:type="spellStart"/>
      <w:r w:rsidRPr="00634FB5">
        <w:rPr>
          <w:rFonts w:cs="Arial"/>
          <w:sz w:val="20"/>
          <w:szCs w:val="20"/>
          <w:lang w:val="it-IT"/>
        </w:rPr>
        <w:t>Delpero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JR, Garcia S, Ferone D, Florio T, </w:t>
      </w:r>
      <w:proofErr w:type="spellStart"/>
      <w:r w:rsidRPr="00634FB5">
        <w:rPr>
          <w:rFonts w:cs="Arial"/>
          <w:sz w:val="20"/>
          <w:szCs w:val="20"/>
          <w:lang w:val="it-IT"/>
        </w:rPr>
        <w:t>Moutardier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V, </w:t>
      </w:r>
      <w:proofErr w:type="spellStart"/>
      <w:r w:rsidRPr="00634FB5">
        <w:rPr>
          <w:rFonts w:cs="Arial"/>
          <w:sz w:val="20"/>
          <w:szCs w:val="20"/>
          <w:lang w:val="it-IT"/>
        </w:rPr>
        <w:t>Poizat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F,</w:t>
      </w:r>
      <w:r w:rsidR="00634FB5" w:rsidRPr="00634FB5">
        <w:rPr>
          <w:rFonts w:cs="Arial"/>
          <w:sz w:val="20"/>
          <w:szCs w:val="20"/>
          <w:lang w:val="it-IT"/>
        </w:rPr>
        <w:t xml:space="preserve"> </w:t>
      </w:r>
      <w:r w:rsidRPr="00634FB5">
        <w:rPr>
          <w:rFonts w:cs="Arial"/>
          <w:sz w:val="20"/>
          <w:szCs w:val="20"/>
          <w:lang w:val="it-IT"/>
        </w:rPr>
        <w:t>Barlier A, Gerard C.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Anti-proliferative and anti-secretory effects of </w:t>
      </w:r>
      <w:proofErr w:type="spellStart"/>
      <w:r w:rsidRPr="00523962">
        <w:rPr>
          <w:rFonts w:cs="Arial"/>
          <w:sz w:val="20"/>
          <w:szCs w:val="20"/>
        </w:rPr>
        <w:t>everolimus</w:t>
      </w:r>
      <w:proofErr w:type="spellEnd"/>
      <w:r w:rsidRPr="00523962">
        <w:rPr>
          <w:rFonts w:cs="Arial"/>
          <w:sz w:val="20"/>
          <w:szCs w:val="20"/>
        </w:rPr>
        <w:t xml:space="preserve"> on human pancreatic neuroendocrine </w:t>
      </w:r>
      <w:proofErr w:type="spellStart"/>
      <w:r w:rsidRPr="00523962">
        <w:rPr>
          <w:rFonts w:cs="Arial"/>
          <w:sz w:val="20"/>
          <w:szCs w:val="20"/>
        </w:rPr>
        <w:t>tumors</w:t>
      </w:r>
      <w:proofErr w:type="spellEnd"/>
      <w:r w:rsidRPr="00523962">
        <w:rPr>
          <w:rFonts w:cs="Arial"/>
          <w:sz w:val="20"/>
          <w:szCs w:val="20"/>
        </w:rPr>
        <w:t xml:space="preserve"> primary cultures: is there any benefit from combination with </w:t>
      </w:r>
      <w:proofErr w:type="spellStart"/>
      <w:r w:rsidRPr="00523962">
        <w:rPr>
          <w:rFonts w:cs="Arial"/>
          <w:sz w:val="20"/>
          <w:szCs w:val="20"/>
        </w:rPr>
        <w:t>somatostatin</w:t>
      </w:r>
      <w:proofErr w:type="spellEnd"/>
      <w:r w:rsidRPr="00523962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an</w:t>
      </w:r>
      <w:r>
        <w:rPr>
          <w:rFonts w:cs="Arial"/>
          <w:sz w:val="20"/>
          <w:szCs w:val="20"/>
        </w:rPr>
        <w:t>alogs</w:t>
      </w:r>
      <w:proofErr w:type="spellEnd"/>
      <w:r>
        <w:rPr>
          <w:rFonts w:cs="Arial"/>
          <w:sz w:val="20"/>
          <w:szCs w:val="20"/>
        </w:rPr>
        <w:t xml:space="preserve">? </w:t>
      </w:r>
      <w:proofErr w:type="spellStart"/>
      <w:r>
        <w:rPr>
          <w:rFonts w:cs="Arial"/>
          <w:sz w:val="20"/>
          <w:szCs w:val="20"/>
        </w:rPr>
        <w:t>Oncotarget</w:t>
      </w:r>
      <w:proofErr w:type="spellEnd"/>
      <w:r>
        <w:rPr>
          <w:rFonts w:cs="Arial"/>
          <w:sz w:val="20"/>
          <w:szCs w:val="20"/>
        </w:rPr>
        <w:t>. 2017 Apr 10.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</w:p>
    <w:p w:rsidR="00634FB5" w:rsidRDefault="00523962" w:rsidP="00634FB5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 xml:space="preserve">3: Angeletti F, Fossati G, </w:t>
      </w:r>
      <w:proofErr w:type="spellStart"/>
      <w:r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Solari A, Daga A, Masiello I,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634FB5">
        <w:rPr>
          <w:rFonts w:cs="Arial"/>
          <w:b/>
          <w:sz w:val="20"/>
          <w:szCs w:val="20"/>
          <w:lang w:val="it-IT"/>
        </w:rPr>
        <w:t>Barbieri F</w:t>
      </w:r>
      <w:r w:rsidRPr="00634FB5">
        <w:rPr>
          <w:rFonts w:cs="Arial"/>
          <w:sz w:val="20"/>
          <w:szCs w:val="20"/>
          <w:lang w:val="it-IT"/>
        </w:rPr>
        <w:t xml:space="preserve">, Florio T, Comincini S. 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lastRenderedPageBreak/>
        <w:t>Inhibition of the Autophagy Pathway</w:t>
      </w:r>
      <w:r w:rsid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Synergistically Potentiates the Cytotoxic Activity of </w:t>
      </w:r>
      <w:proofErr w:type="spellStart"/>
      <w:r w:rsidRPr="00523962">
        <w:rPr>
          <w:rFonts w:cs="Arial"/>
          <w:sz w:val="20"/>
          <w:szCs w:val="20"/>
        </w:rPr>
        <w:t>Givinostat</w:t>
      </w:r>
      <w:proofErr w:type="spellEnd"/>
      <w:r w:rsidRPr="00523962">
        <w:rPr>
          <w:rFonts w:cs="Arial"/>
          <w:sz w:val="20"/>
          <w:szCs w:val="20"/>
        </w:rPr>
        <w:t xml:space="preserve"> (ITF2357) on</w:t>
      </w:r>
      <w:r w:rsidR="00634FB5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Cancer Stem Cells. Front </w:t>
      </w:r>
      <w:proofErr w:type="spellStart"/>
      <w:r w:rsidRPr="00523962">
        <w:rPr>
          <w:rFonts w:cs="Arial"/>
          <w:sz w:val="20"/>
          <w:szCs w:val="20"/>
        </w:rPr>
        <w:t>Mol</w:t>
      </w:r>
      <w:proofErr w:type="spellEnd"/>
      <w:r w:rsidRPr="00523962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Neurosci</w:t>
      </w:r>
      <w:proofErr w:type="spellEnd"/>
      <w:r w:rsidRPr="00523962">
        <w:rPr>
          <w:rFonts w:cs="Arial"/>
          <w:sz w:val="20"/>
          <w:szCs w:val="20"/>
        </w:rPr>
        <w:t>. 2016 Oct 27;9:107.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</w:p>
    <w:p w:rsidR="00634FB5" w:rsidRDefault="00523962" w:rsidP="00634FB5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 xml:space="preserve">4: Corsaro A, </w:t>
      </w:r>
      <w:proofErr w:type="spellStart"/>
      <w:r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Pr="00523962">
        <w:rPr>
          <w:rFonts w:cs="Arial"/>
          <w:sz w:val="20"/>
          <w:szCs w:val="20"/>
          <w:lang w:val="it-IT"/>
        </w:rPr>
        <w:t>Thellung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S, </w:t>
      </w:r>
      <w:proofErr w:type="spellStart"/>
      <w:r w:rsidRPr="00523962">
        <w:rPr>
          <w:rFonts w:cs="Arial"/>
          <w:sz w:val="20"/>
          <w:szCs w:val="20"/>
          <w:lang w:val="it-IT"/>
        </w:rPr>
        <w:t>Begani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G, Villa V, </w:t>
      </w:r>
      <w:proofErr w:type="spellStart"/>
      <w:r w:rsidRPr="00523962">
        <w:rPr>
          <w:rFonts w:cs="Arial"/>
          <w:sz w:val="20"/>
          <w:szCs w:val="20"/>
          <w:lang w:val="it-IT"/>
        </w:rPr>
        <w:t>Nizzari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M, </w:t>
      </w:r>
      <w:proofErr w:type="spellStart"/>
      <w:r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Solari A, Gatti M, Pagano A,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Daga A, </w:t>
      </w:r>
      <w:r w:rsidRPr="00523962">
        <w:rPr>
          <w:rFonts w:cs="Arial"/>
          <w:b/>
          <w:sz w:val="20"/>
          <w:szCs w:val="20"/>
          <w:lang w:val="it-IT"/>
        </w:rPr>
        <w:t>Barbieri F</w:t>
      </w:r>
      <w:r w:rsidRPr="00523962">
        <w:rPr>
          <w:rFonts w:cs="Arial"/>
          <w:sz w:val="20"/>
          <w:szCs w:val="20"/>
          <w:lang w:val="it-IT"/>
        </w:rPr>
        <w:t xml:space="preserve">, Florio T. 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>Cellular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prion protein controls stem cell-like properties of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="00634FB5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 xml:space="preserve">-initiating cells. </w:t>
      </w:r>
      <w:proofErr w:type="spellStart"/>
      <w:r w:rsidRPr="00523962">
        <w:rPr>
          <w:rFonts w:cs="Arial"/>
          <w:sz w:val="20"/>
          <w:szCs w:val="20"/>
        </w:rPr>
        <w:t>Oncotarget</w:t>
      </w:r>
      <w:proofErr w:type="spellEnd"/>
      <w:r w:rsidRPr="00523962">
        <w:rPr>
          <w:rFonts w:cs="Arial"/>
          <w:sz w:val="20"/>
          <w:szCs w:val="20"/>
        </w:rPr>
        <w:t xml:space="preserve">. 2016 Jun 21;7(25):38638-38657. </w:t>
      </w:r>
    </w:p>
    <w:p w:rsidR="00523962" w:rsidRP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</w:p>
    <w:p w:rsidR="00634FB5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5: </w:t>
      </w:r>
      <w:proofErr w:type="spellStart"/>
      <w:r w:rsidRPr="00523962">
        <w:rPr>
          <w:rFonts w:cs="Arial"/>
          <w:b/>
          <w:sz w:val="20"/>
          <w:szCs w:val="20"/>
        </w:rPr>
        <w:t>Barbieri</w:t>
      </w:r>
      <w:proofErr w:type="spellEnd"/>
      <w:r w:rsidRPr="00523962">
        <w:rPr>
          <w:rFonts w:cs="Arial"/>
          <w:b/>
          <w:sz w:val="20"/>
          <w:szCs w:val="20"/>
        </w:rPr>
        <w:t xml:space="preserve"> F</w:t>
      </w:r>
      <w:r w:rsidRPr="00523962">
        <w:rPr>
          <w:rFonts w:cs="Arial"/>
          <w:sz w:val="20"/>
          <w:szCs w:val="20"/>
        </w:rPr>
        <w:t xml:space="preserve">, </w:t>
      </w:r>
      <w:proofErr w:type="spellStart"/>
      <w:r w:rsidRPr="00523962">
        <w:rPr>
          <w:rFonts w:cs="Arial"/>
          <w:sz w:val="20"/>
          <w:szCs w:val="20"/>
        </w:rPr>
        <w:t>Bajetto</w:t>
      </w:r>
      <w:proofErr w:type="spellEnd"/>
      <w:r w:rsidRPr="00523962">
        <w:rPr>
          <w:rFonts w:cs="Arial"/>
          <w:sz w:val="20"/>
          <w:szCs w:val="20"/>
        </w:rPr>
        <w:t xml:space="preserve"> A, </w:t>
      </w:r>
      <w:proofErr w:type="spellStart"/>
      <w:r w:rsidRPr="00523962">
        <w:rPr>
          <w:rFonts w:cs="Arial"/>
          <w:sz w:val="20"/>
          <w:szCs w:val="20"/>
        </w:rPr>
        <w:t>Thellung</w:t>
      </w:r>
      <w:proofErr w:type="spellEnd"/>
      <w:r w:rsidRPr="00523962">
        <w:rPr>
          <w:rFonts w:cs="Arial"/>
          <w:sz w:val="20"/>
          <w:szCs w:val="20"/>
        </w:rPr>
        <w:t xml:space="preserve"> S, </w:t>
      </w:r>
      <w:proofErr w:type="spellStart"/>
      <w:r w:rsidRPr="00523962">
        <w:rPr>
          <w:rFonts w:cs="Arial"/>
          <w:sz w:val="20"/>
          <w:szCs w:val="20"/>
        </w:rPr>
        <w:t>Würth</w:t>
      </w:r>
      <w:proofErr w:type="spellEnd"/>
      <w:r w:rsidRPr="00523962">
        <w:rPr>
          <w:rFonts w:cs="Arial"/>
          <w:sz w:val="20"/>
          <w:szCs w:val="20"/>
        </w:rPr>
        <w:t xml:space="preserve"> R, Florio T. </w:t>
      </w:r>
    </w:p>
    <w:p w:rsid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>Drug design strategies</w:t>
      </w:r>
      <w:r w:rsidR="00634FB5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focusing on the CXCR4/CXCR7/CXCL12 pathway in </w:t>
      </w:r>
      <w:proofErr w:type="spellStart"/>
      <w:r w:rsidRPr="00523962">
        <w:rPr>
          <w:rFonts w:cs="Arial"/>
          <w:sz w:val="20"/>
          <w:szCs w:val="20"/>
        </w:rPr>
        <w:t>leukemia</w:t>
      </w:r>
      <w:proofErr w:type="spellEnd"/>
      <w:r w:rsidRPr="00523962">
        <w:rPr>
          <w:rFonts w:cs="Arial"/>
          <w:sz w:val="20"/>
          <w:szCs w:val="20"/>
        </w:rPr>
        <w:t xml:space="preserve"> and lymphoma. Expert </w:t>
      </w:r>
      <w:proofErr w:type="spellStart"/>
      <w:r w:rsidRPr="00523962">
        <w:rPr>
          <w:rFonts w:cs="Arial"/>
          <w:sz w:val="20"/>
          <w:szCs w:val="20"/>
        </w:rPr>
        <w:t>Opin</w:t>
      </w:r>
      <w:proofErr w:type="spellEnd"/>
      <w:r w:rsidRPr="00523962">
        <w:rPr>
          <w:rFonts w:cs="Arial"/>
          <w:sz w:val="20"/>
          <w:szCs w:val="20"/>
        </w:rPr>
        <w:t xml:space="preserve"> Drug </w:t>
      </w:r>
      <w:proofErr w:type="spellStart"/>
      <w:r w:rsidRPr="00523962">
        <w:rPr>
          <w:rFonts w:cs="Arial"/>
          <w:sz w:val="20"/>
          <w:szCs w:val="20"/>
        </w:rPr>
        <w:t>Discov</w:t>
      </w:r>
      <w:proofErr w:type="spellEnd"/>
      <w:r w:rsidRPr="00523962">
        <w:rPr>
          <w:rFonts w:cs="Arial"/>
          <w:sz w:val="20"/>
          <w:szCs w:val="20"/>
        </w:rPr>
        <w:t xml:space="preserve">. 2016 Nov;11(11):1093-1109. </w:t>
      </w:r>
    </w:p>
    <w:p w:rsidR="00523962" w:rsidRDefault="00523962" w:rsidP="00634FB5">
      <w:pPr>
        <w:ind w:right="453"/>
        <w:jc w:val="both"/>
        <w:rPr>
          <w:rFonts w:cs="Arial"/>
          <w:sz w:val="20"/>
          <w:szCs w:val="20"/>
        </w:rPr>
      </w:pPr>
    </w:p>
    <w:p w:rsid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 xml:space="preserve">6: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</w:t>
      </w:r>
      <w:r w:rsidRPr="00523962">
        <w:rPr>
          <w:rFonts w:cs="Arial"/>
          <w:b/>
          <w:sz w:val="20"/>
          <w:szCs w:val="20"/>
          <w:lang w:val="it-IT"/>
        </w:rPr>
        <w:t>Barbieri F,</w:t>
      </w:r>
      <w:r w:rsidRPr="00523962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Gaudenzi G, Gatto F, Fiaschi P, </w:t>
      </w:r>
      <w:proofErr w:type="spellStart"/>
      <w:r w:rsidRPr="00523962">
        <w:rPr>
          <w:rFonts w:cs="Arial"/>
          <w:sz w:val="20"/>
          <w:szCs w:val="20"/>
          <w:lang w:val="it-IT"/>
        </w:rPr>
        <w:t>Ravetti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JL,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523962">
        <w:rPr>
          <w:rFonts w:cs="Arial"/>
          <w:sz w:val="20"/>
          <w:szCs w:val="20"/>
          <w:lang w:val="it-IT"/>
        </w:rPr>
        <w:t xml:space="preserve">Zona G, Daga A, Persani L, Ferone D, Vitale G, Florio T. </w:t>
      </w:r>
    </w:p>
    <w:p w:rsidR="00523962" w:rsidRP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proofErr w:type="spellStart"/>
      <w:r w:rsidRPr="00634FB5">
        <w:rPr>
          <w:rFonts w:cs="Arial"/>
          <w:sz w:val="20"/>
          <w:szCs w:val="20"/>
          <w:lang w:val="en-US"/>
        </w:rPr>
        <w:t>Phenotypical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and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Pharmacological Characterization of Stem-Like Cells in Human Pituitary Adenomas. </w:t>
      </w:r>
      <w:proofErr w:type="spellStart"/>
      <w:r w:rsidRPr="00634FB5">
        <w:rPr>
          <w:rFonts w:cs="Arial"/>
          <w:sz w:val="20"/>
          <w:szCs w:val="20"/>
          <w:lang w:val="it-IT"/>
        </w:rPr>
        <w:t>Mol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634FB5">
        <w:rPr>
          <w:rFonts w:cs="Arial"/>
          <w:sz w:val="20"/>
          <w:szCs w:val="20"/>
          <w:lang w:val="it-IT"/>
        </w:rPr>
        <w:t>Neurobiol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. 2016 </w:t>
      </w:r>
      <w:proofErr w:type="spellStart"/>
      <w:r w:rsidRPr="00634FB5">
        <w:rPr>
          <w:rFonts w:cs="Arial"/>
          <w:sz w:val="20"/>
          <w:szCs w:val="20"/>
          <w:lang w:val="it-IT"/>
        </w:rPr>
        <w:t>Aug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11.</w:t>
      </w:r>
    </w:p>
    <w:p w:rsidR="00523962" w:rsidRP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</w:p>
    <w:p w:rsid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 xml:space="preserve">7: Gatti M, </w:t>
      </w:r>
      <w:proofErr w:type="spellStart"/>
      <w:r w:rsidRPr="00523962">
        <w:rPr>
          <w:rFonts w:cs="Arial"/>
          <w:sz w:val="20"/>
          <w:szCs w:val="20"/>
          <w:lang w:val="it-IT"/>
        </w:rPr>
        <w:t>Wurth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Vito G, </w:t>
      </w:r>
      <w:proofErr w:type="spellStart"/>
      <w:r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Campanella C, </w:t>
      </w:r>
      <w:proofErr w:type="spellStart"/>
      <w:r w:rsidRPr="00523962">
        <w:rPr>
          <w:rFonts w:cs="Arial"/>
          <w:sz w:val="20"/>
          <w:szCs w:val="20"/>
          <w:lang w:val="it-IT"/>
        </w:rPr>
        <w:t>Thellung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S, Maniscalco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523962">
        <w:rPr>
          <w:rFonts w:cs="Arial"/>
          <w:sz w:val="20"/>
          <w:szCs w:val="20"/>
          <w:lang w:val="it-IT"/>
        </w:rPr>
        <w:t xml:space="preserve">L, De Maria R, Villa V, Corsaro A, </w:t>
      </w:r>
      <w:proofErr w:type="spellStart"/>
      <w:r w:rsidRPr="00523962">
        <w:rPr>
          <w:rFonts w:cs="Arial"/>
          <w:sz w:val="20"/>
          <w:szCs w:val="20"/>
          <w:lang w:val="it-IT"/>
        </w:rPr>
        <w:t>Nizzari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M, </w:t>
      </w:r>
      <w:proofErr w:type="spellStart"/>
      <w:r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Ratto A, Ferrari A,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634FB5">
        <w:rPr>
          <w:rFonts w:cs="Arial"/>
          <w:b/>
          <w:sz w:val="20"/>
          <w:szCs w:val="20"/>
          <w:lang w:val="it-IT"/>
        </w:rPr>
        <w:t>Barbieri F</w:t>
      </w:r>
      <w:r w:rsidRPr="00634FB5">
        <w:rPr>
          <w:rFonts w:cs="Arial"/>
          <w:sz w:val="20"/>
          <w:szCs w:val="20"/>
          <w:lang w:val="it-IT"/>
        </w:rPr>
        <w:t xml:space="preserve">, Florio T. </w:t>
      </w:r>
    </w:p>
    <w:p w:rsidR="00523962" w:rsidRPr="00634FB5" w:rsidRDefault="00523962" w:rsidP="00045269">
      <w:pPr>
        <w:ind w:right="453"/>
        <w:jc w:val="both"/>
        <w:rPr>
          <w:rFonts w:cs="Arial"/>
          <w:sz w:val="20"/>
          <w:szCs w:val="20"/>
          <w:lang w:val="en-US"/>
        </w:rPr>
      </w:pPr>
      <w:r w:rsidRPr="00634FB5">
        <w:rPr>
          <w:rFonts w:cs="Arial"/>
          <w:sz w:val="20"/>
          <w:szCs w:val="20"/>
          <w:lang w:val="en-US"/>
        </w:rPr>
        <w:t>Canine osteosarcoma cell lines contain stem-like cancer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634FB5">
        <w:rPr>
          <w:rFonts w:cs="Arial"/>
          <w:sz w:val="20"/>
          <w:szCs w:val="20"/>
          <w:lang w:val="en-US"/>
        </w:rPr>
        <w:t xml:space="preserve">cells: biological and pharmacological characterization. </w:t>
      </w:r>
      <w:proofErr w:type="spellStart"/>
      <w:r w:rsidRPr="00523962">
        <w:rPr>
          <w:rFonts w:cs="Arial"/>
          <w:sz w:val="20"/>
          <w:szCs w:val="20"/>
        </w:rPr>
        <w:t>Jpn</w:t>
      </w:r>
      <w:proofErr w:type="spellEnd"/>
      <w:r w:rsidRPr="00523962">
        <w:rPr>
          <w:rFonts w:cs="Arial"/>
          <w:sz w:val="20"/>
          <w:szCs w:val="20"/>
        </w:rPr>
        <w:t xml:space="preserve"> J Vet Res. 2016</w:t>
      </w:r>
      <w:r w:rsidR="00634FB5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>May;64(2):101-12</w:t>
      </w:r>
    </w:p>
    <w:p w:rsidR="00523962" w:rsidRPr="00634FB5" w:rsidRDefault="00523962" w:rsidP="00045269">
      <w:pPr>
        <w:ind w:right="453"/>
        <w:jc w:val="both"/>
        <w:rPr>
          <w:rFonts w:cs="Arial"/>
          <w:sz w:val="20"/>
          <w:szCs w:val="20"/>
          <w:lang w:val="en-US"/>
        </w:rPr>
      </w:pPr>
    </w:p>
    <w:p w:rsid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 xml:space="preserve">8: Gaudenzi G, Albertelli M, Dicitore A,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Gatto F, </w:t>
      </w:r>
      <w:r w:rsidRPr="00523962">
        <w:rPr>
          <w:rFonts w:cs="Arial"/>
          <w:b/>
          <w:sz w:val="20"/>
          <w:szCs w:val="20"/>
          <w:lang w:val="it-IT"/>
        </w:rPr>
        <w:t>Barbieri F</w:t>
      </w:r>
      <w:r w:rsidRPr="00523962">
        <w:rPr>
          <w:rFonts w:cs="Arial"/>
          <w:sz w:val="20"/>
          <w:szCs w:val="20"/>
          <w:lang w:val="it-IT"/>
        </w:rPr>
        <w:t>, Cotelli F,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523962">
        <w:rPr>
          <w:rFonts w:cs="Arial"/>
          <w:sz w:val="20"/>
          <w:szCs w:val="20"/>
          <w:lang w:val="it-IT"/>
        </w:rPr>
        <w:t xml:space="preserve">Florio T, Ferone D, Persani L, Vitale G.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 xml:space="preserve">Patient-derived </w:t>
      </w:r>
      <w:proofErr w:type="spellStart"/>
      <w:r w:rsidRPr="00634FB5">
        <w:rPr>
          <w:rFonts w:cs="Arial"/>
          <w:sz w:val="20"/>
          <w:szCs w:val="20"/>
          <w:lang w:val="en-US"/>
        </w:rPr>
        <w:t>xenograft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in </w:t>
      </w:r>
      <w:proofErr w:type="spellStart"/>
      <w:r w:rsidRPr="00634FB5">
        <w:rPr>
          <w:rFonts w:cs="Arial"/>
          <w:sz w:val="20"/>
          <w:szCs w:val="20"/>
          <w:lang w:val="en-US"/>
        </w:rPr>
        <w:t>zebrafish</w:t>
      </w:r>
      <w:proofErr w:type="spellEnd"/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embryos: a new platform for translational research in neuroendocrine </w:t>
      </w:r>
      <w:proofErr w:type="spellStart"/>
      <w:r w:rsidRPr="00523962">
        <w:rPr>
          <w:rFonts w:cs="Arial"/>
          <w:sz w:val="20"/>
          <w:szCs w:val="20"/>
        </w:rPr>
        <w:t>tumors</w:t>
      </w:r>
      <w:proofErr w:type="spellEnd"/>
      <w:r w:rsidRPr="00523962">
        <w:rPr>
          <w:rFonts w:cs="Arial"/>
          <w:sz w:val="20"/>
          <w:szCs w:val="20"/>
        </w:rPr>
        <w:t>.</w:t>
      </w:r>
    </w:p>
    <w:p w:rsidR="00523962" w:rsidRPr="00634FB5" w:rsidRDefault="00223B5C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</w:rPr>
        <w:t xml:space="preserve">Endocrine. </w:t>
      </w:r>
      <w:r w:rsidRPr="00634FB5">
        <w:rPr>
          <w:rFonts w:cs="Arial"/>
          <w:sz w:val="20"/>
          <w:szCs w:val="20"/>
          <w:lang w:val="it-IT"/>
        </w:rPr>
        <w:t xml:space="preserve">2016 </w:t>
      </w:r>
      <w:proofErr w:type="spellStart"/>
      <w:r w:rsidRPr="00634FB5">
        <w:rPr>
          <w:rFonts w:cs="Arial"/>
          <w:sz w:val="20"/>
          <w:szCs w:val="20"/>
          <w:lang w:val="it-IT"/>
        </w:rPr>
        <w:t>Aug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2.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</w:p>
    <w:p w:rsidR="00634FB5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>9</w:t>
      </w:r>
      <w:r w:rsidRPr="00523962">
        <w:rPr>
          <w:rFonts w:cs="Arial"/>
          <w:sz w:val="20"/>
          <w:szCs w:val="20"/>
          <w:lang w:val="it-IT"/>
        </w:rPr>
        <w:t xml:space="preserve">: Banelli B, </w:t>
      </w:r>
      <w:proofErr w:type="spellStart"/>
      <w:r w:rsidRPr="00523962">
        <w:rPr>
          <w:rFonts w:cs="Arial"/>
          <w:sz w:val="20"/>
          <w:szCs w:val="20"/>
          <w:lang w:val="it-IT"/>
        </w:rPr>
        <w:t>Carra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E, </w:t>
      </w:r>
      <w:r w:rsidRPr="00523962">
        <w:rPr>
          <w:rFonts w:cs="Arial"/>
          <w:b/>
          <w:sz w:val="20"/>
          <w:szCs w:val="20"/>
          <w:lang w:val="it-IT"/>
        </w:rPr>
        <w:t>Barbieri F</w:t>
      </w:r>
      <w:r w:rsidRPr="00523962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Parodi F, </w:t>
      </w:r>
      <w:proofErr w:type="spellStart"/>
      <w:r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Pr="00523962">
        <w:rPr>
          <w:rFonts w:cs="Arial"/>
          <w:sz w:val="20"/>
          <w:szCs w:val="20"/>
          <w:lang w:val="it-IT"/>
        </w:rPr>
        <w:t>Carosio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523962">
        <w:rPr>
          <w:rFonts w:cs="Arial"/>
          <w:sz w:val="20"/>
          <w:szCs w:val="20"/>
          <w:lang w:val="it-IT"/>
        </w:rPr>
        <w:t xml:space="preserve">Forlani A, </w:t>
      </w:r>
      <w:proofErr w:type="spellStart"/>
      <w:r w:rsidRPr="00523962">
        <w:rPr>
          <w:rFonts w:cs="Arial"/>
          <w:sz w:val="20"/>
          <w:szCs w:val="20"/>
          <w:lang w:val="it-IT"/>
        </w:rPr>
        <w:t>Allemanni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G, </w:t>
      </w:r>
      <w:proofErr w:type="spellStart"/>
      <w:r w:rsidRPr="00523962">
        <w:rPr>
          <w:rFonts w:cs="Arial"/>
          <w:sz w:val="20"/>
          <w:szCs w:val="20"/>
          <w:lang w:val="it-IT"/>
        </w:rPr>
        <w:t>Marubbi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D, Florio T, Daga A, Romani M. </w:t>
      </w:r>
    </w:p>
    <w:p w:rsidR="00523962" w:rsidRPr="00523962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>The histone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demethylase</w:t>
      </w:r>
      <w:proofErr w:type="spellEnd"/>
      <w:r w:rsidRPr="00523962">
        <w:rPr>
          <w:rFonts w:cs="Arial"/>
          <w:sz w:val="20"/>
          <w:szCs w:val="20"/>
        </w:rPr>
        <w:t xml:space="preserve"> KDM5A is a key factor for the resistance to </w:t>
      </w:r>
      <w:proofErr w:type="spellStart"/>
      <w:r w:rsidRPr="00523962">
        <w:rPr>
          <w:rFonts w:cs="Arial"/>
          <w:sz w:val="20"/>
          <w:szCs w:val="20"/>
        </w:rPr>
        <w:t>temozolomide</w:t>
      </w:r>
      <w:proofErr w:type="spellEnd"/>
      <w:r w:rsidRPr="00523962">
        <w:rPr>
          <w:rFonts w:cs="Arial"/>
          <w:sz w:val="20"/>
          <w:szCs w:val="20"/>
        </w:rPr>
        <w:t xml:space="preserve"> in</w:t>
      </w:r>
      <w:r w:rsidR="00634FB5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. Cell Cycle. 2015;14(21):3418-29. </w:t>
      </w:r>
    </w:p>
    <w:p w:rsidR="00523962" w:rsidRPr="00523962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</w:p>
    <w:p w:rsidR="00523962" w:rsidRPr="00523962" w:rsidRDefault="00223B5C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10</w:t>
      </w:r>
      <w:r w:rsidR="00523962" w:rsidRPr="00523962">
        <w:rPr>
          <w:rFonts w:cs="Arial"/>
          <w:sz w:val="20"/>
          <w:szCs w:val="20"/>
        </w:rPr>
        <w:t xml:space="preserve">: </w:t>
      </w:r>
      <w:proofErr w:type="spellStart"/>
      <w:r w:rsidR="00523962" w:rsidRPr="00523962">
        <w:rPr>
          <w:rFonts w:cs="Arial"/>
          <w:sz w:val="20"/>
          <w:szCs w:val="20"/>
        </w:rPr>
        <w:t>Würth</w:t>
      </w:r>
      <w:proofErr w:type="spellEnd"/>
      <w:r w:rsidR="00523962" w:rsidRPr="00523962">
        <w:rPr>
          <w:rFonts w:cs="Arial"/>
          <w:sz w:val="20"/>
          <w:szCs w:val="20"/>
        </w:rPr>
        <w:t xml:space="preserve"> R, </w:t>
      </w:r>
      <w:proofErr w:type="spellStart"/>
      <w:r w:rsidR="00523962" w:rsidRPr="00523962">
        <w:rPr>
          <w:rFonts w:cs="Arial"/>
          <w:sz w:val="20"/>
          <w:szCs w:val="20"/>
        </w:rPr>
        <w:t>Thellung</w:t>
      </w:r>
      <w:proofErr w:type="spellEnd"/>
      <w:r w:rsidR="00523962" w:rsidRPr="00523962">
        <w:rPr>
          <w:rFonts w:cs="Arial"/>
          <w:sz w:val="20"/>
          <w:szCs w:val="20"/>
        </w:rPr>
        <w:t xml:space="preserve"> S, </w:t>
      </w:r>
      <w:proofErr w:type="spellStart"/>
      <w:r w:rsidR="00523962" w:rsidRPr="00523962">
        <w:rPr>
          <w:rFonts w:cs="Arial"/>
          <w:sz w:val="20"/>
          <w:szCs w:val="20"/>
        </w:rPr>
        <w:t>Bajetto</w:t>
      </w:r>
      <w:proofErr w:type="spellEnd"/>
      <w:r w:rsidR="00523962" w:rsidRPr="00523962">
        <w:rPr>
          <w:rFonts w:cs="Arial"/>
          <w:sz w:val="20"/>
          <w:szCs w:val="20"/>
        </w:rPr>
        <w:t xml:space="preserve"> A, </w:t>
      </w:r>
      <w:proofErr w:type="spellStart"/>
      <w:r w:rsidR="00523962" w:rsidRPr="00523962">
        <w:rPr>
          <w:rFonts w:cs="Arial"/>
          <w:sz w:val="20"/>
          <w:szCs w:val="20"/>
        </w:rPr>
        <w:t>Mazzanti</w:t>
      </w:r>
      <w:proofErr w:type="spellEnd"/>
      <w:r w:rsidR="00523962" w:rsidRPr="00523962">
        <w:rPr>
          <w:rFonts w:cs="Arial"/>
          <w:sz w:val="20"/>
          <w:szCs w:val="20"/>
        </w:rPr>
        <w:t xml:space="preserve"> M, Florio T, </w:t>
      </w:r>
      <w:proofErr w:type="spellStart"/>
      <w:r w:rsidR="00523962" w:rsidRPr="00223B5C">
        <w:rPr>
          <w:rFonts w:cs="Arial"/>
          <w:b/>
          <w:sz w:val="20"/>
          <w:szCs w:val="20"/>
        </w:rPr>
        <w:t>Barbieri</w:t>
      </w:r>
      <w:proofErr w:type="spellEnd"/>
      <w:r w:rsidR="00523962" w:rsidRPr="00223B5C">
        <w:rPr>
          <w:rFonts w:cs="Arial"/>
          <w:b/>
          <w:sz w:val="20"/>
          <w:szCs w:val="20"/>
        </w:rPr>
        <w:t xml:space="preserve"> F.</w:t>
      </w:r>
    </w:p>
    <w:p w:rsidR="00523962" w:rsidRPr="00523962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Drug-repositioning opportunities for cancer therapy: novel molecular targets for known compounds. Drug </w:t>
      </w:r>
      <w:proofErr w:type="spellStart"/>
      <w:r w:rsidRPr="00523962">
        <w:rPr>
          <w:rFonts w:cs="Arial"/>
          <w:sz w:val="20"/>
          <w:szCs w:val="20"/>
        </w:rPr>
        <w:t>Discov</w:t>
      </w:r>
      <w:proofErr w:type="spellEnd"/>
      <w:r w:rsidRPr="00523962">
        <w:rPr>
          <w:rFonts w:cs="Arial"/>
          <w:sz w:val="20"/>
          <w:szCs w:val="20"/>
        </w:rPr>
        <w:t xml:space="preserve"> Today. 2016 Jan;21(1):190-9. </w:t>
      </w:r>
    </w:p>
    <w:p w:rsidR="00523962" w:rsidRPr="00523962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</w:p>
    <w:p w:rsidR="00634FB5" w:rsidRDefault="00223B5C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</w:rPr>
        <w:t>11</w:t>
      </w:r>
      <w:r w:rsidR="00523962" w:rsidRPr="00634FB5">
        <w:rPr>
          <w:rFonts w:cs="Arial"/>
          <w:sz w:val="20"/>
          <w:szCs w:val="20"/>
        </w:rPr>
        <w:t xml:space="preserve">: </w:t>
      </w:r>
      <w:proofErr w:type="spellStart"/>
      <w:r w:rsidR="00523962" w:rsidRPr="00634FB5">
        <w:rPr>
          <w:rFonts w:cs="Arial"/>
          <w:sz w:val="20"/>
          <w:szCs w:val="20"/>
        </w:rPr>
        <w:t>Thellung</w:t>
      </w:r>
      <w:proofErr w:type="spellEnd"/>
      <w:r w:rsidR="00523962" w:rsidRPr="00634FB5">
        <w:rPr>
          <w:rFonts w:cs="Arial"/>
          <w:sz w:val="20"/>
          <w:szCs w:val="20"/>
        </w:rPr>
        <w:t xml:space="preserve"> S, </w:t>
      </w:r>
      <w:proofErr w:type="spellStart"/>
      <w:r w:rsidR="00523962" w:rsidRPr="00634FB5">
        <w:rPr>
          <w:rFonts w:cs="Arial"/>
          <w:sz w:val="20"/>
          <w:szCs w:val="20"/>
        </w:rPr>
        <w:t>Favoni</w:t>
      </w:r>
      <w:proofErr w:type="spellEnd"/>
      <w:r w:rsidR="00523962" w:rsidRPr="00634FB5">
        <w:rPr>
          <w:rFonts w:cs="Arial"/>
          <w:sz w:val="20"/>
          <w:szCs w:val="20"/>
        </w:rPr>
        <w:t xml:space="preserve"> RE, </w:t>
      </w:r>
      <w:proofErr w:type="spellStart"/>
      <w:r w:rsidR="00523962" w:rsidRPr="00634FB5">
        <w:rPr>
          <w:rFonts w:cs="Arial"/>
          <w:sz w:val="20"/>
          <w:szCs w:val="20"/>
        </w:rPr>
        <w:t>Würth</w:t>
      </w:r>
      <w:proofErr w:type="spellEnd"/>
      <w:r w:rsidR="00523962" w:rsidRPr="00634FB5">
        <w:rPr>
          <w:rFonts w:cs="Arial"/>
          <w:sz w:val="20"/>
          <w:szCs w:val="20"/>
        </w:rPr>
        <w:t xml:space="preserve"> R, </w:t>
      </w:r>
      <w:proofErr w:type="spellStart"/>
      <w:r w:rsidR="00523962" w:rsidRPr="00634FB5">
        <w:rPr>
          <w:rFonts w:cs="Arial"/>
          <w:sz w:val="20"/>
          <w:szCs w:val="20"/>
        </w:rPr>
        <w:t>Nizzari</w:t>
      </w:r>
      <w:proofErr w:type="spellEnd"/>
      <w:r w:rsidR="00523962" w:rsidRPr="00634FB5">
        <w:rPr>
          <w:rFonts w:cs="Arial"/>
          <w:sz w:val="20"/>
          <w:szCs w:val="20"/>
        </w:rPr>
        <w:t xml:space="preserve"> M, </w:t>
      </w:r>
      <w:proofErr w:type="spellStart"/>
      <w:r w:rsidR="00523962" w:rsidRPr="00634FB5">
        <w:rPr>
          <w:rFonts w:cs="Arial"/>
          <w:sz w:val="20"/>
          <w:szCs w:val="20"/>
        </w:rPr>
        <w:t>Pattarozzi</w:t>
      </w:r>
      <w:proofErr w:type="spellEnd"/>
      <w:r w:rsidR="00523962" w:rsidRPr="00634FB5">
        <w:rPr>
          <w:rFonts w:cs="Arial"/>
          <w:sz w:val="20"/>
          <w:szCs w:val="20"/>
        </w:rPr>
        <w:t xml:space="preserve"> A, </w:t>
      </w:r>
      <w:proofErr w:type="spellStart"/>
      <w:r w:rsidR="00523962" w:rsidRPr="00634FB5">
        <w:rPr>
          <w:rFonts w:cs="Arial"/>
          <w:sz w:val="20"/>
          <w:szCs w:val="20"/>
        </w:rPr>
        <w:t>Daga</w:t>
      </w:r>
      <w:proofErr w:type="spellEnd"/>
      <w:r w:rsidR="00523962" w:rsidRPr="00634FB5">
        <w:rPr>
          <w:rFonts w:cs="Arial"/>
          <w:sz w:val="20"/>
          <w:szCs w:val="20"/>
        </w:rPr>
        <w:t xml:space="preserve"> A, Florio T,</w:t>
      </w:r>
      <w:r w:rsidR="00634FB5" w:rsidRPr="00634FB5">
        <w:rPr>
          <w:rFonts w:cs="Arial"/>
          <w:sz w:val="20"/>
          <w:szCs w:val="20"/>
        </w:rPr>
        <w:t xml:space="preserve"> </w:t>
      </w:r>
      <w:proofErr w:type="spellStart"/>
      <w:r w:rsidR="00523962" w:rsidRPr="00223B5C">
        <w:rPr>
          <w:rFonts w:cs="Arial"/>
          <w:b/>
          <w:sz w:val="20"/>
          <w:szCs w:val="20"/>
        </w:rPr>
        <w:t>Barbieri</w:t>
      </w:r>
      <w:proofErr w:type="spellEnd"/>
      <w:r w:rsidR="00523962" w:rsidRPr="00223B5C">
        <w:rPr>
          <w:rFonts w:cs="Arial"/>
          <w:b/>
          <w:sz w:val="20"/>
          <w:szCs w:val="20"/>
        </w:rPr>
        <w:t xml:space="preserve"> F</w:t>
      </w:r>
      <w:r w:rsidR="00523962" w:rsidRPr="00523962">
        <w:rPr>
          <w:rFonts w:cs="Arial"/>
          <w:sz w:val="20"/>
          <w:szCs w:val="20"/>
        </w:rPr>
        <w:t xml:space="preserve">. </w:t>
      </w:r>
    </w:p>
    <w:p w:rsidR="00523962" w:rsidRPr="00634FB5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</w:rPr>
        <w:t xml:space="preserve">Molecular Pharmacology of Malignant Pleural Mesothelioma: Challenges and Perspectives From Preclinical and Clinical Studies. </w:t>
      </w:r>
      <w:proofErr w:type="spellStart"/>
      <w:r w:rsidRPr="00634FB5">
        <w:rPr>
          <w:rFonts w:cs="Arial"/>
          <w:sz w:val="20"/>
          <w:szCs w:val="20"/>
          <w:lang w:val="it-IT"/>
        </w:rPr>
        <w:t>Curr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634FB5">
        <w:rPr>
          <w:rFonts w:cs="Arial"/>
          <w:sz w:val="20"/>
          <w:szCs w:val="20"/>
          <w:lang w:val="it-IT"/>
        </w:rPr>
        <w:t>Drug</w:t>
      </w:r>
      <w:proofErr w:type="spellEnd"/>
      <w:r w:rsidRPr="00634FB5">
        <w:rPr>
          <w:rFonts w:cs="Arial"/>
          <w:sz w:val="20"/>
          <w:szCs w:val="20"/>
          <w:lang w:val="it-IT"/>
        </w:rPr>
        <w:t xml:space="preserve"> Targets.</w:t>
      </w:r>
      <w:r w:rsidR="00634FB5" w:rsidRPr="00634FB5">
        <w:rPr>
          <w:rFonts w:cs="Arial"/>
          <w:sz w:val="20"/>
          <w:szCs w:val="20"/>
          <w:lang w:val="it-IT"/>
        </w:rPr>
        <w:t xml:space="preserve"> </w:t>
      </w:r>
      <w:r w:rsidRPr="00634FB5">
        <w:rPr>
          <w:rFonts w:cs="Arial"/>
          <w:sz w:val="20"/>
          <w:szCs w:val="20"/>
          <w:lang w:val="it-IT"/>
        </w:rPr>
        <w:t xml:space="preserve">2016;17(7):824-49. </w:t>
      </w:r>
    </w:p>
    <w:p w:rsidR="00523962" w:rsidRPr="00634FB5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  <w:lang w:val="it-IT"/>
        </w:rPr>
      </w:pPr>
    </w:p>
    <w:p w:rsidR="00634FB5" w:rsidRDefault="00223B5C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12</w:t>
      </w:r>
      <w:r w:rsidR="00523962" w:rsidRPr="00523962">
        <w:rPr>
          <w:rFonts w:cs="Arial"/>
          <w:sz w:val="20"/>
          <w:szCs w:val="20"/>
          <w:lang w:val="it-IT"/>
        </w:rPr>
        <w:t xml:space="preserve">: </w:t>
      </w:r>
      <w:r w:rsidR="00523962" w:rsidRPr="00223B5C">
        <w:rPr>
          <w:rFonts w:cs="Arial"/>
          <w:b/>
          <w:sz w:val="20"/>
          <w:szCs w:val="20"/>
          <w:lang w:val="it-IT"/>
        </w:rPr>
        <w:t>Barbieri F</w:t>
      </w:r>
      <w:r w:rsidR="00523962" w:rsidRPr="00523962">
        <w:rPr>
          <w:rFonts w:cs="Arial"/>
          <w:sz w:val="20"/>
          <w:szCs w:val="20"/>
          <w:lang w:val="it-IT"/>
        </w:rPr>
        <w:t xml:space="preserve">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Thellung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S, Ratto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Carra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E, Marini V, Fucile C,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</w:t>
      </w:r>
      <w:r w:rsidR="00634FB5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R, Gatti M, Campanella C, Vito G, Mattioli F, Pagano A, Daga 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="00523962" w:rsidRPr="00523962">
        <w:rPr>
          <w:rFonts w:cs="Arial"/>
          <w:sz w:val="20"/>
          <w:szCs w:val="20"/>
          <w:lang w:val="it-IT"/>
        </w:rPr>
        <w:t>A, Ferrari A, Florio T.</w:t>
      </w:r>
    </w:p>
    <w:p w:rsidR="00523962" w:rsidRPr="00223B5C" w:rsidRDefault="00523962" w:rsidP="00045269">
      <w:pPr>
        <w:tabs>
          <w:tab w:val="left" w:pos="9923"/>
        </w:tabs>
        <w:ind w:right="453"/>
        <w:jc w:val="both"/>
        <w:rPr>
          <w:rFonts w:cs="Arial"/>
          <w:sz w:val="20"/>
          <w:szCs w:val="20"/>
          <w:lang w:val="it-IT"/>
        </w:rPr>
      </w:pPr>
      <w:r w:rsidRPr="00634FB5">
        <w:rPr>
          <w:rFonts w:cs="Arial"/>
          <w:sz w:val="20"/>
          <w:szCs w:val="20"/>
          <w:lang w:val="en-US"/>
        </w:rPr>
        <w:t xml:space="preserve">In vitro and in vivo </w:t>
      </w:r>
      <w:proofErr w:type="spellStart"/>
      <w:r w:rsidRPr="00634FB5">
        <w:rPr>
          <w:rFonts w:cs="Arial"/>
          <w:sz w:val="20"/>
          <w:szCs w:val="20"/>
          <w:lang w:val="en-US"/>
        </w:rPr>
        <w:t>antiproliferative</w:t>
      </w:r>
      <w:proofErr w:type="spellEnd"/>
      <w:r w:rsidRPr="00634FB5">
        <w:rPr>
          <w:rFonts w:cs="Arial"/>
          <w:sz w:val="20"/>
          <w:szCs w:val="20"/>
          <w:lang w:val="en-US"/>
        </w:rPr>
        <w:t xml:space="preserve"> activity of</w:t>
      </w:r>
      <w:r w:rsidR="00634FB5" w:rsidRP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>metformin on stem-like cells isolated from spontaneous canine mammary carcinomas:</w:t>
      </w:r>
      <w:r w:rsidR="00634FB5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translational implications for human </w:t>
      </w:r>
      <w:proofErr w:type="spellStart"/>
      <w:r w:rsidRPr="00523962">
        <w:rPr>
          <w:rFonts w:cs="Arial"/>
          <w:sz w:val="20"/>
          <w:szCs w:val="20"/>
        </w:rPr>
        <w:t>tumors</w:t>
      </w:r>
      <w:proofErr w:type="spellEnd"/>
      <w:r w:rsidRPr="00523962">
        <w:rPr>
          <w:rFonts w:cs="Arial"/>
          <w:sz w:val="20"/>
          <w:szCs w:val="20"/>
        </w:rPr>
        <w:t>. BMC C</w:t>
      </w:r>
      <w:bookmarkStart w:id="0" w:name="_GoBack"/>
      <w:bookmarkEnd w:id="0"/>
      <w:r w:rsidRPr="00523962">
        <w:rPr>
          <w:rFonts w:cs="Arial"/>
          <w:sz w:val="20"/>
          <w:szCs w:val="20"/>
        </w:rPr>
        <w:t xml:space="preserve">ancer. </w:t>
      </w:r>
      <w:r w:rsidRPr="00223B5C">
        <w:rPr>
          <w:rFonts w:cs="Arial"/>
          <w:sz w:val="20"/>
          <w:szCs w:val="20"/>
          <w:lang w:val="it-IT"/>
        </w:rPr>
        <w:t xml:space="preserve">2015 </w:t>
      </w:r>
      <w:proofErr w:type="spellStart"/>
      <w:r w:rsidRPr="00223B5C">
        <w:rPr>
          <w:rFonts w:cs="Arial"/>
          <w:sz w:val="20"/>
          <w:szCs w:val="20"/>
          <w:lang w:val="it-IT"/>
        </w:rPr>
        <w:t>Apr</w:t>
      </w:r>
      <w:proofErr w:type="spellEnd"/>
      <w:r w:rsidRPr="00223B5C">
        <w:rPr>
          <w:rFonts w:cs="Arial"/>
          <w:sz w:val="20"/>
          <w:szCs w:val="20"/>
          <w:lang w:val="it-IT"/>
        </w:rPr>
        <w:t xml:space="preserve"> 7;15:228. </w:t>
      </w:r>
    </w:p>
    <w:p w:rsidR="00523962" w:rsidRPr="00223B5C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</w:p>
    <w:p w:rsidR="00634FB5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  <w:lang w:val="it-IT"/>
        </w:rPr>
        <w:t>1</w:t>
      </w:r>
      <w:r w:rsidR="00223B5C">
        <w:rPr>
          <w:rFonts w:cs="Arial"/>
          <w:sz w:val="20"/>
          <w:szCs w:val="20"/>
          <w:lang w:val="it-IT"/>
        </w:rPr>
        <w:t>3</w:t>
      </w:r>
      <w:r w:rsidRPr="00523962">
        <w:rPr>
          <w:rFonts w:cs="Arial"/>
          <w:sz w:val="20"/>
          <w:szCs w:val="20"/>
          <w:lang w:val="it-IT"/>
        </w:rPr>
        <w:t xml:space="preserve">: </w:t>
      </w:r>
      <w:r w:rsidRPr="00223B5C">
        <w:rPr>
          <w:rFonts w:cs="Arial"/>
          <w:b/>
          <w:sz w:val="20"/>
          <w:szCs w:val="20"/>
          <w:lang w:val="it-IT"/>
        </w:rPr>
        <w:t>Barbieri F,</w:t>
      </w:r>
      <w:r w:rsidRPr="00523962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523962">
        <w:rPr>
          <w:rFonts w:cs="Arial"/>
          <w:sz w:val="20"/>
          <w:szCs w:val="20"/>
          <w:lang w:val="it-IT"/>
        </w:rPr>
        <w:t>Thellung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S, </w:t>
      </w:r>
      <w:proofErr w:type="spellStart"/>
      <w:r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R, Gatto F, Corsaro A, Villa V, </w:t>
      </w:r>
      <w:proofErr w:type="spellStart"/>
      <w:r w:rsidRPr="00523962">
        <w:rPr>
          <w:rFonts w:cs="Arial"/>
          <w:sz w:val="20"/>
          <w:szCs w:val="20"/>
          <w:lang w:val="it-IT"/>
        </w:rPr>
        <w:t>Nizzari</w:t>
      </w:r>
      <w:proofErr w:type="spellEnd"/>
      <w:r w:rsidRPr="00523962">
        <w:rPr>
          <w:rFonts w:cs="Arial"/>
          <w:sz w:val="20"/>
          <w:szCs w:val="20"/>
          <w:lang w:val="it-IT"/>
        </w:rPr>
        <w:t xml:space="preserve"> M,</w:t>
      </w:r>
      <w:r w:rsidR="00634FB5">
        <w:rPr>
          <w:rFonts w:cs="Arial"/>
          <w:sz w:val="20"/>
          <w:szCs w:val="20"/>
          <w:lang w:val="it-IT"/>
        </w:rPr>
        <w:t xml:space="preserve"> </w:t>
      </w:r>
      <w:r w:rsidRPr="00634FB5">
        <w:rPr>
          <w:rFonts w:cs="Arial"/>
          <w:sz w:val="20"/>
          <w:szCs w:val="20"/>
          <w:lang w:val="it-IT"/>
        </w:rPr>
        <w:t xml:space="preserve">Albertelli M, Ferone D, Florio T.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634FB5">
        <w:rPr>
          <w:rFonts w:cs="Arial"/>
          <w:sz w:val="20"/>
          <w:szCs w:val="20"/>
          <w:lang w:val="en-US"/>
        </w:rPr>
        <w:t>Emerging Targets in Pituitary Adenomas: Role of</w:t>
      </w:r>
      <w:r w:rsidR="00634FB5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the CXCL12/CXCR4-R7 System. </w:t>
      </w:r>
      <w:proofErr w:type="spellStart"/>
      <w:r w:rsidRPr="00523962">
        <w:rPr>
          <w:rFonts w:cs="Arial"/>
          <w:sz w:val="20"/>
          <w:szCs w:val="20"/>
        </w:rPr>
        <w:t>Int</w:t>
      </w:r>
      <w:proofErr w:type="spellEnd"/>
      <w:r w:rsidRPr="00523962">
        <w:rPr>
          <w:rFonts w:cs="Arial"/>
          <w:sz w:val="20"/>
          <w:szCs w:val="20"/>
        </w:rPr>
        <w:t xml:space="preserve"> J </w:t>
      </w:r>
      <w:proofErr w:type="spellStart"/>
      <w:r w:rsidRPr="00523962">
        <w:rPr>
          <w:rFonts w:cs="Arial"/>
          <w:sz w:val="20"/>
          <w:szCs w:val="20"/>
        </w:rPr>
        <w:t>Endocrinol</w:t>
      </w:r>
      <w:proofErr w:type="spellEnd"/>
      <w:r w:rsidRPr="00523962">
        <w:rPr>
          <w:rFonts w:cs="Arial"/>
          <w:sz w:val="20"/>
          <w:szCs w:val="20"/>
        </w:rPr>
        <w:t xml:space="preserve">. 2014;2014:753524.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</w:rPr>
        <w:t>1</w:t>
      </w:r>
      <w:r w:rsidR="00223B5C" w:rsidRPr="00045269">
        <w:rPr>
          <w:rFonts w:cs="Arial"/>
          <w:sz w:val="20"/>
          <w:szCs w:val="20"/>
        </w:rPr>
        <w:t>4</w:t>
      </w:r>
      <w:r w:rsidRPr="00045269">
        <w:rPr>
          <w:rFonts w:cs="Arial"/>
          <w:sz w:val="20"/>
          <w:szCs w:val="20"/>
        </w:rPr>
        <w:t xml:space="preserve">: </w:t>
      </w:r>
      <w:proofErr w:type="spellStart"/>
      <w:r w:rsidRPr="00045269">
        <w:rPr>
          <w:rFonts w:cs="Arial"/>
          <w:sz w:val="20"/>
          <w:szCs w:val="20"/>
        </w:rPr>
        <w:t>Gritti</w:t>
      </w:r>
      <w:proofErr w:type="spellEnd"/>
      <w:r w:rsidRPr="00045269">
        <w:rPr>
          <w:rFonts w:cs="Arial"/>
          <w:sz w:val="20"/>
          <w:szCs w:val="20"/>
        </w:rPr>
        <w:t xml:space="preserve"> M, </w:t>
      </w:r>
      <w:proofErr w:type="spellStart"/>
      <w:r w:rsidRPr="00045269">
        <w:rPr>
          <w:rFonts w:cs="Arial"/>
          <w:sz w:val="20"/>
          <w:szCs w:val="20"/>
        </w:rPr>
        <w:t>Würth</w:t>
      </w:r>
      <w:proofErr w:type="spellEnd"/>
      <w:r w:rsidRPr="00045269">
        <w:rPr>
          <w:rFonts w:cs="Arial"/>
          <w:sz w:val="20"/>
          <w:szCs w:val="20"/>
        </w:rPr>
        <w:t xml:space="preserve"> R, </w:t>
      </w:r>
      <w:proofErr w:type="spellStart"/>
      <w:r w:rsidRPr="00045269">
        <w:rPr>
          <w:rFonts w:cs="Arial"/>
          <w:sz w:val="20"/>
          <w:szCs w:val="20"/>
        </w:rPr>
        <w:t>Angelini</w:t>
      </w:r>
      <w:proofErr w:type="spellEnd"/>
      <w:r w:rsidRPr="00045269">
        <w:rPr>
          <w:rFonts w:cs="Arial"/>
          <w:sz w:val="20"/>
          <w:szCs w:val="20"/>
        </w:rPr>
        <w:t xml:space="preserve"> M, </w:t>
      </w:r>
      <w:proofErr w:type="spellStart"/>
      <w:r w:rsidRPr="00045269">
        <w:rPr>
          <w:rFonts w:cs="Arial"/>
          <w:b/>
          <w:sz w:val="20"/>
          <w:szCs w:val="20"/>
        </w:rPr>
        <w:t>Barbieri</w:t>
      </w:r>
      <w:proofErr w:type="spellEnd"/>
      <w:r w:rsidRPr="00045269">
        <w:rPr>
          <w:rFonts w:cs="Arial"/>
          <w:b/>
          <w:sz w:val="20"/>
          <w:szCs w:val="20"/>
        </w:rPr>
        <w:t xml:space="preserve"> F</w:t>
      </w:r>
      <w:r w:rsidRPr="00045269">
        <w:rPr>
          <w:rFonts w:cs="Arial"/>
          <w:sz w:val="20"/>
          <w:szCs w:val="20"/>
        </w:rPr>
        <w:t xml:space="preserve">, </w:t>
      </w:r>
      <w:proofErr w:type="spellStart"/>
      <w:r w:rsidRPr="00045269">
        <w:rPr>
          <w:rFonts w:cs="Arial"/>
          <w:sz w:val="20"/>
          <w:szCs w:val="20"/>
        </w:rPr>
        <w:t>Peretti</w:t>
      </w:r>
      <w:proofErr w:type="spellEnd"/>
      <w:r w:rsidRPr="00045269">
        <w:rPr>
          <w:rFonts w:cs="Arial"/>
          <w:sz w:val="20"/>
          <w:szCs w:val="20"/>
        </w:rPr>
        <w:t xml:space="preserve"> M, </w:t>
      </w:r>
      <w:proofErr w:type="spellStart"/>
      <w:r w:rsidRPr="00045269">
        <w:rPr>
          <w:rFonts w:cs="Arial"/>
          <w:sz w:val="20"/>
          <w:szCs w:val="20"/>
        </w:rPr>
        <w:t>Pizzi</w:t>
      </w:r>
      <w:proofErr w:type="spellEnd"/>
      <w:r w:rsidRPr="00045269">
        <w:rPr>
          <w:rFonts w:cs="Arial"/>
          <w:sz w:val="20"/>
          <w:szCs w:val="20"/>
        </w:rPr>
        <w:t xml:space="preserve"> E, </w:t>
      </w:r>
      <w:proofErr w:type="spellStart"/>
      <w:r w:rsidRPr="00045269">
        <w:rPr>
          <w:rFonts w:cs="Arial"/>
          <w:sz w:val="20"/>
          <w:szCs w:val="20"/>
        </w:rPr>
        <w:t>Pattarozzi</w:t>
      </w:r>
      <w:proofErr w:type="spellEnd"/>
      <w:r w:rsidRPr="00045269">
        <w:rPr>
          <w:rFonts w:cs="Arial"/>
          <w:sz w:val="20"/>
          <w:szCs w:val="20"/>
        </w:rPr>
        <w:t xml:space="preserve"> A, </w:t>
      </w:r>
      <w:proofErr w:type="spellStart"/>
      <w:r w:rsidRPr="00045269">
        <w:rPr>
          <w:rFonts w:cs="Arial"/>
          <w:sz w:val="20"/>
          <w:szCs w:val="20"/>
        </w:rPr>
        <w:t>Carra</w:t>
      </w:r>
      <w:proofErr w:type="spellEnd"/>
      <w:r w:rsidRPr="00045269">
        <w:rPr>
          <w:rFonts w:cs="Arial"/>
          <w:sz w:val="20"/>
          <w:szCs w:val="20"/>
        </w:rPr>
        <w:t xml:space="preserve"> E, </w:t>
      </w:r>
      <w:proofErr w:type="spellStart"/>
      <w:r w:rsidRPr="00045269">
        <w:rPr>
          <w:rFonts w:cs="Arial"/>
          <w:sz w:val="20"/>
          <w:szCs w:val="20"/>
        </w:rPr>
        <w:t>Sirito</w:t>
      </w:r>
      <w:proofErr w:type="spellEnd"/>
      <w:r w:rsidRPr="00045269">
        <w:rPr>
          <w:rFonts w:cs="Arial"/>
          <w:sz w:val="20"/>
          <w:szCs w:val="20"/>
        </w:rPr>
        <w:t xml:space="preserve"> R, </w:t>
      </w:r>
      <w:proofErr w:type="spellStart"/>
      <w:r w:rsidRPr="00045269">
        <w:rPr>
          <w:rFonts w:cs="Arial"/>
          <w:sz w:val="20"/>
          <w:szCs w:val="20"/>
        </w:rPr>
        <w:t>Daga</w:t>
      </w:r>
      <w:proofErr w:type="spellEnd"/>
      <w:r w:rsidRPr="00045269">
        <w:rPr>
          <w:rFonts w:cs="Arial"/>
          <w:sz w:val="20"/>
          <w:szCs w:val="20"/>
        </w:rPr>
        <w:t xml:space="preserve"> A, </w:t>
      </w:r>
      <w:proofErr w:type="spellStart"/>
      <w:r w:rsidRPr="00045269">
        <w:rPr>
          <w:rFonts w:cs="Arial"/>
          <w:sz w:val="20"/>
          <w:szCs w:val="20"/>
        </w:rPr>
        <w:t>Curmi</w:t>
      </w:r>
      <w:proofErr w:type="spellEnd"/>
      <w:r w:rsidRPr="00045269">
        <w:rPr>
          <w:rFonts w:cs="Arial"/>
          <w:sz w:val="20"/>
          <w:szCs w:val="20"/>
        </w:rPr>
        <w:t xml:space="preserve"> PM, </w:t>
      </w:r>
      <w:proofErr w:type="spellStart"/>
      <w:r w:rsidRPr="00045269">
        <w:rPr>
          <w:rFonts w:cs="Arial"/>
          <w:sz w:val="20"/>
          <w:szCs w:val="20"/>
        </w:rPr>
        <w:t>Mazzanti</w:t>
      </w:r>
      <w:proofErr w:type="spellEnd"/>
      <w:r w:rsidRPr="00045269">
        <w:rPr>
          <w:rFonts w:cs="Arial"/>
          <w:sz w:val="20"/>
          <w:szCs w:val="20"/>
        </w:rPr>
        <w:t xml:space="preserve"> M, Florio T. </w:t>
      </w:r>
    </w:p>
    <w:p w:rsidR="00523962" w:rsidRPr="00223B5C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045269">
        <w:rPr>
          <w:rFonts w:cs="Arial"/>
          <w:sz w:val="20"/>
          <w:szCs w:val="20"/>
        </w:rPr>
        <w:t>Metformin</w:t>
      </w:r>
      <w:r w:rsidR="00045269" w:rsidRP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repositioning as </w:t>
      </w:r>
      <w:proofErr w:type="spellStart"/>
      <w:r w:rsidRPr="00523962">
        <w:rPr>
          <w:rFonts w:cs="Arial"/>
          <w:sz w:val="20"/>
          <w:szCs w:val="20"/>
        </w:rPr>
        <w:t>antitumoral</w:t>
      </w:r>
      <w:proofErr w:type="spellEnd"/>
      <w:r w:rsidRPr="00523962">
        <w:rPr>
          <w:rFonts w:cs="Arial"/>
          <w:sz w:val="20"/>
          <w:szCs w:val="20"/>
        </w:rPr>
        <w:t xml:space="preserve"> agent: selective </w:t>
      </w:r>
      <w:proofErr w:type="spellStart"/>
      <w:r w:rsidRPr="00523962">
        <w:rPr>
          <w:rFonts w:cs="Arial"/>
          <w:sz w:val="20"/>
          <w:szCs w:val="20"/>
        </w:rPr>
        <w:t>antiproliferative</w:t>
      </w:r>
      <w:proofErr w:type="spellEnd"/>
      <w:r w:rsidRPr="00523962">
        <w:rPr>
          <w:rFonts w:cs="Arial"/>
          <w:sz w:val="20"/>
          <w:szCs w:val="20"/>
        </w:rPr>
        <w:t xml:space="preserve"> effects in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stem cells, via inhibition of CLIC1-mediated ion current.</w:t>
      </w:r>
      <w:r w:rsidR="00045269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Oncotarget</w:t>
      </w:r>
      <w:proofErr w:type="spellEnd"/>
      <w:r w:rsidRPr="00523962">
        <w:rPr>
          <w:rFonts w:cs="Arial"/>
          <w:sz w:val="20"/>
          <w:szCs w:val="20"/>
        </w:rPr>
        <w:t xml:space="preserve">. </w:t>
      </w:r>
      <w:r w:rsidRPr="00223B5C">
        <w:rPr>
          <w:rFonts w:cs="Arial"/>
          <w:sz w:val="20"/>
          <w:szCs w:val="20"/>
          <w:lang w:val="it-IT"/>
        </w:rPr>
        <w:t xml:space="preserve">2014 </w:t>
      </w:r>
      <w:proofErr w:type="spellStart"/>
      <w:r w:rsidRPr="00223B5C">
        <w:rPr>
          <w:rFonts w:cs="Arial"/>
          <w:sz w:val="20"/>
          <w:szCs w:val="20"/>
          <w:lang w:val="it-IT"/>
        </w:rPr>
        <w:t>Nov</w:t>
      </w:r>
      <w:proofErr w:type="spellEnd"/>
      <w:r w:rsidRPr="00223B5C">
        <w:rPr>
          <w:rFonts w:cs="Arial"/>
          <w:sz w:val="20"/>
          <w:szCs w:val="20"/>
          <w:lang w:val="it-IT"/>
        </w:rPr>
        <w:t xml:space="preserve"> 30;5(22):11252-68. </w:t>
      </w:r>
    </w:p>
    <w:p w:rsidR="00523962" w:rsidRPr="00223B5C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</w:p>
    <w:p w:rsidR="00045269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223B5C">
        <w:rPr>
          <w:rFonts w:cs="Arial"/>
          <w:sz w:val="20"/>
          <w:szCs w:val="20"/>
          <w:lang w:val="it-IT"/>
        </w:rPr>
        <w:t>1</w:t>
      </w:r>
      <w:r w:rsidR="00223B5C" w:rsidRPr="00223B5C">
        <w:rPr>
          <w:rFonts w:cs="Arial"/>
          <w:sz w:val="20"/>
          <w:szCs w:val="20"/>
          <w:lang w:val="it-IT"/>
        </w:rPr>
        <w:t>5</w:t>
      </w:r>
      <w:r w:rsidRPr="00223B5C">
        <w:rPr>
          <w:rFonts w:cs="Arial"/>
          <w:sz w:val="20"/>
          <w:szCs w:val="20"/>
          <w:lang w:val="it-IT"/>
        </w:rPr>
        <w:t xml:space="preserve">: Mohamed A, </w:t>
      </w:r>
      <w:proofErr w:type="spellStart"/>
      <w:r w:rsidRPr="00223B5C">
        <w:rPr>
          <w:rFonts w:cs="Arial"/>
          <w:sz w:val="20"/>
          <w:szCs w:val="20"/>
          <w:lang w:val="it-IT"/>
        </w:rPr>
        <w:t>Blanchard</w:t>
      </w:r>
      <w:proofErr w:type="spellEnd"/>
      <w:r w:rsidRPr="00223B5C">
        <w:rPr>
          <w:rFonts w:cs="Arial"/>
          <w:sz w:val="20"/>
          <w:szCs w:val="20"/>
          <w:lang w:val="it-IT"/>
        </w:rPr>
        <w:t xml:space="preserve"> MP, Albertelli M, </w:t>
      </w:r>
      <w:r w:rsidRPr="00223B5C">
        <w:rPr>
          <w:rFonts w:cs="Arial"/>
          <w:b/>
          <w:sz w:val="20"/>
          <w:szCs w:val="20"/>
          <w:lang w:val="it-IT"/>
        </w:rPr>
        <w:t>Barbieri F</w:t>
      </w:r>
      <w:r w:rsidRPr="00223B5C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223B5C">
        <w:rPr>
          <w:rFonts w:cs="Arial"/>
          <w:sz w:val="20"/>
          <w:szCs w:val="20"/>
          <w:lang w:val="it-IT"/>
        </w:rPr>
        <w:t>Brue</w:t>
      </w:r>
      <w:proofErr w:type="spellEnd"/>
      <w:r w:rsidRPr="00223B5C">
        <w:rPr>
          <w:rFonts w:cs="Arial"/>
          <w:sz w:val="20"/>
          <w:szCs w:val="20"/>
          <w:lang w:val="it-IT"/>
        </w:rPr>
        <w:t xml:space="preserve"> T, </w:t>
      </w:r>
      <w:proofErr w:type="spellStart"/>
      <w:r w:rsidRPr="00223B5C">
        <w:rPr>
          <w:rFonts w:cs="Arial"/>
          <w:sz w:val="20"/>
          <w:szCs w:val="20"/>
          <w:lang w:val="it-IT"/>
        </w:rPr>
        <w:t>Niccoli</w:t>
      </w:r>
      <w:proofErr w:type="spellEnd"/>
      <w:r w:rsidRPr="00223B5C">
        <w:rPr>
          <w:rFonts w:cs="Arial"/>
          <w:sz w:val="20"/>
          <w:szCs w:val="20"/>
          <w:lang w:val="it-IT"/>
        </w:rPr>
        <w:t xml:space="preserve"> P, </w:t>
      </w:r>
      <w:proofErr w:type="spellStart"/>
      <w:r w:rsidRPr="00223B5C">
        <w:rPr>
          <w:rFonts w:cs="Arial"/>
          <w:sz w:val="20"/>
          <w:szCs w:val="20"/>
          <w:lang w:val="it-IT"/>
        </w:rPr>
        <w:t>Delpero</w:t>
      </w:r>
      <w:proofErr w:type="spellEnd"/>
      <w:r w:rsidR="00045269">
        <w:rPr>
          <w:rFonts w:cs="Arial"/>
          <w:sz w:val="20"/>
          <w:szCs w:val="20"/>
          <w:lang w:val="it-IT"/>
        </w:rPr>
        <w:t xml:space="preserve"> </w:t>
      </w:r>
      <w:r w:rsidRPr="00045269">
        <w:rPr>
          <w:rFonts w:cs="Arial"/>
          <w:sz w:val="20"/>
          <w:szCs w:val="20"/>
          <w:lang w:val="it-IT"/>
        </w:rPr>
        <w:t xml:space="preserve">JR, </w:t>
      </w:r>
      <w:proofErr w:type="spellStart"/>
      <w:r w:rsidRPr="00045269">
        <w:rPr>
          <w:rFonts w:cs="Arial"/>
          <w:sz w:val="20"/>
          <w:szCs w:val="20"/>
          <w:lang w:val="it-IT"/>
        </w:rPr>
        <w:t>Monges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G, Garcia S, Ferone D, Florio T, </w:t>
      </w:r>
      <w:proofErr w:type="spellStart"/>
      <w:r w:rsidRPr="00045269">
        <w:rPr>
          <w:rFonts w:cs="Arial"/>
          <w:sz w:val="20"/>
          <w:szCs w:val="20"/>
          <w:lang w:val="it-IT"/>
        </w:rPr>
        <w:t>Enjalbert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Pr="00045269">
        <w:rPr>
          <w:rFonts w:cs="Arial"/>
          <w:sz w:val="20"/>
          <w:szCs w:val="20"/>
          <w:lang w:val="it-IT"/>
        </w:rPr>
        <w:t>Moutardier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V, </w:t>
      </w:r>
      <w:proofErr w:type="spellStart"/>
      <w:r w:rsidRPr="00045269">
        <w:rPr>
          <w:rFonts w:cs="Arial"/>
          <w:sz w:val="20"/>
          <w:szCs w:val="20"/>
          <w:lang w:val="it-IT"/>
        </w:rPr>
        <w:t>Schonbrunn</w:t>
      </w:r>
      <w:proofErr w:type="spellEnd"/>
      <w:r w:rsidR="00045269" w:rsidRPr="00045269">
        <w:rPr>
          <w:rFonts w:cs="Arial"/>
          <w:sz w:val="20"/>
          <w:szCs w:val="20"/>
          <w:lang w:val="it-IT"/>
        </w:rPr>
        <w:t xml:space="preserve"> </w:t>
      </w:r>
      <w:r w:rsidRPr="00045269">
        <w:rPr>
          <w:rFonts w:cs="Arial"/>
          <w:sz w:val="20"/>
          <w:szCs w:val="20"/>
          <w:lang w:val="it-IT"/>
        </w:rPr>
        <w:t xml:space="preserve">A, Gerard C, Barlier A, </w:t>
      </w:r>
      <w:proofErr w:type="spellStart"/>
      <w:r w:rsidRPr="00045269">
        <w:rPr>
          <w:rFonts w:cs="Arial"/>
          <w:sz w:val="20"/>
          <w:szCs w:val="20"/>
          <w:lang w:val="it-IT"/>
        </w:rPr>
        <w:t>Saveanu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A. </w:t>
      </w:r>
    </w:p>
    <w:p w:rsidR="00523962" w:rsidRPr="00045269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proofErr w:type="spellStart"/>
      <w:r w:rsidRPr="00045269">
        <w:rPr>
          <w:rFonts w:cs="Arial"/>
          <w:sz w:val="20"/>
          <w:szCs w:val="20"/>
          <w:lang w:val="it-IT"/>
        </w:rPr>
        <w:t>Pasireotide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and </w:t>
      </w:r>
      <w:proofErr w:type="spellStart"/>
      <w:r w:rsidRPr="00045269">
        <w:rPr>
          <w:rFonts w:cs="Arial"/>
          <w:sz w:val="20"/>
          <w:szCs w:val="20"/>
          <w:lang w:val="it-IT"/>
        </w:rPr>
        <w:t>octreotide</w:t>
      </w:r>
      <w:proofErr w:type="spellEnd"/>
      <w:r w:rsidRPr="00045269">
        <w:rPr>
          <w:rFonts w:cs="Arial"/>
          <w:sz w:val="20"/>
          <w:szCs w:val="20"/>
          <w:lang w:val="it-IT"/>
        </w:rPr>
        <w:t xml:space="preserve"> </w:t>
      </w:r>
      <w:proofErr w:type="spellStart"/>
      <w:r w:rsidRPr="00045269">
        <w:rPr>
          <w:rFonts w:cs="Arial"/>
          <w:sz w:val="20"/>
          <w:szCs w:val="20"/>
          <w:lang w:val="it-IT"/>
        </w:rPr>
        <w:t>antiproliferative</w:t>
      </w:r>
      <w:proofErr w:type="spellEnd"/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effects and sst2 trafficking in human pancreatic neuroendocrine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 xml:space="preserve"> cultures.</w:t>
      </w:r>
      <w:r w:rsidR="00045269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Endocr</w:t>
      </w:r>
      <w:proofErr w:type="spellEnd"/>
      <w:r w:rsidRPr="00523962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Relat</w:t>
      </w:r>
      <w:proofErr w:type="spellEnd"/>
      <w:r w:rsidRPr="00523962">
        <w:rPr>
          <w:rFonts w:cs="Arial"/>
          <w:sz w:val="20"/>
          <w:szCs w:val="20"/>
        </w:rPr>
        <w:t xml:space="preserve"> Cancer. 2014 Oct;21(5):691-704.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</w:t>
      </w:r>
      <w:r w:rsidR="00523962" w:rsidRPr="00523962">
        <w:rPr>
          <w:rFonts w:cs="Arial"/>
          <w:sz w:val="20"/>
          <w:szCs w:val="20"/>
        </w:rPr>
        <w:t xml:space="preserve">: </w:t>
      </w:r>
      <w:proofErr w:type="spellStart"/>
      <w:r w:rsidR="00523962" w:rsidRPr="00523962">
        <w:rPr>
          <w:rFonts w:cs="Arial"/>
          <w:sz w:val="20"/>
          <w:szCs w:val="20"/>
        </w:rPr>
        <w:t>Würth</w:t>
      </w:r>
      <w:proofErr w:type="spellEnd"/>
      <w:r w:rsidR="00523962" w:rsidRPr="00523962">
        <w:rPr>
          <w:rFonts w:cs="Arial"/>
          <w:sz w:val="20"/>
          <w:szCs w:val="20"/>
        </w:rPr>
        <w:t xml:space="preserve"> R, </w:t>
      </w:r>
      <w:proofErr w:type="spellStart"/>
      <w:r w:rsidR="00523962" w:rsidRPr="00523962">
        <w:rPr>
          <w:rFonts w:cs="Arial"/>
          <w:sz w:val="20"/>
          <w:szCs w:val="20"/>
        </w:rPr>
        <w:t>Bajetto</w:t>
      </w:r>
      <w:proofErr w:type="spellEnd"/>
      <w:r w:rsidR="00523962" w:rsidRPr="00523962">
        <w:rPr>
          <w:rFonts w:cs="Arial"/>
          <w:sz w:val="20"/>
          <w:szCs w:val="20"/>
        </w:rPr>
        <w:t xml:space="preserve"> A, Harrison JK, </w:t>
      </w:r>
      <w:proofErr w:type="spellStart"/>
      <w:r w:rsidR="00523962" w:rsidRPr="00223B5C">
        <w:rPr>
          <w:rFonts w:cs="Arial"/>
          <w:b/>
          <w:sz w:val="20"/>
          <w:szCs w:val="20"/>
        </w:rPr>
        <w:t>Barbieri</w:t>
      </w:r>
      <w:proofErr w:type="spellEnd"/>
      <w:r w:rsidR="00523962" w:rsidRPr="00223B5C">
        <w:rPr>
          <w:rFonts w:cs="Arial"/>
          <w:b/>
          <w:sz w:val="20"/>
          <w:szCs w:val="20"/>
        </w:rPr>
        <w:t xml:space="preserve"> F</w:t>
      </w:r>
      <w:r w:rsidR="00523962" w:rsidRPr="00523962">
        <w:rPr>
          <w:rFonts w:cs="Arial"/>
          <w:sz w:val="20"/>
          <w:szCs w:val="20"/>
        </w:rPr>
        <w:t xml:space="preserve">, Florio T.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lastRenderedPageBreak/>
        <w:t>CXCL12 modulation of</w:t>
      </w:r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CXCR4 and CXCR7 activity in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stem-like cells and regulation of the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 xml:space="preserve"> microenvironment. Front Cell </w:t>
      </w:r>
      <w:proofErr w:type="spellStart"/>
      <w:r w:rsidRPr="00523962">
        <w:rPr>
          <w:rFonts w:cs="Arial"/>
          <w:sz w:val="20"/>
          <w:szCs w:val="20"/>
        </w:rPr>
        <w:t>Neurosci</w:t>
      </w:r>
      <w:proofErr w:type="spellEnd"/>
      <w:r w:rsidRPr="00523962">
        <w:rPr>
          <w:rFonts w:cs="Arial"/>
          <w:sz w:val="20"/>
          <w:szCs w:val="20"/>
        </w:rPr>
        <w:t xml:space="preserve">. 2014 May 28;8:144.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223B5C">
        <w:rPr>
          <w:rFonts w:cs="Arial"/>
          <w:sz w:val="20"/>
          <w:szCs w:val="20"/>
          <w:lang w:val="it-IT"/>
        </w:rPr>
        <w:t>17</w:t>
      </w:r>
      <w:r w:rsidR="00523962" w:rsidRPr="00523962">
        <w:rPr>
          <w:rFonts w:cs="Arial"/>
          <w:sz w:val="20"/>
          <w:szCs w:val="20"/>
          <w:lang w:val="it-IT"/>
        </w:rPr>
        <w:t>: Porcile C, Di Zazzo E, Monaco ML, D'Angelo G, Passarella D, Russo C, Di</w:t>
      </w:r>
      <w:r w:rsidR="00045269">
        <w:rPr>
          <w:rFonts w:cs="Arial"/>
          <w:sz w:val="20"/>
          <w:szCs w:val="20"/>
          <w:lang w:val="it-IT"/>
        </w:rPr>
        <w:t xml:space="preserve"> </w:t>
      </w:r>
      <w:r w:rsidR="00523962" w:rsidRPr="00523962">
        <w:rPr>
          <w:rFonts w:cs="Arial"/>
          <w:sz w:val="20"/>
          <w:szCs w:val="20"/>
          <w:lang w:val="it-IT"/>
        </w:rPr>
        <w:t xml:space="preserve">Costanzo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Gatti M,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Zona G, </w:t>
      </w:r>
      <w:r w:rsidR="00523962" w:rsidRPr="00223B5C">
        <w:rPr>
          <w:rFonts w:cs="Arial"/>
          <w:b/>
          <w:sz w:val="20"/>
          <w:szCs w:val="20"/>
          <w:lang w:val="it-IT"/>
        </w:rPr>
        <w:t>Barbieri F</w:t>
      </w:r>
      <w:r w:rsidR="00523962" w:rsidRPr="00523962">
        <w:rPr>
          <w:rFonts w:cs="Arial"/>
          <w:sz w:val="20"/>
          <w:szCs w:val="20"/>
          <w:lang w:val="it-IT"/>
        </w:rPr>
        <w:t>, Oriani G,</w:t>
      </w:r>
      <w:r w:rsidR="00045269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523962" w:rsidRPr="00045269">
        <w:rPr>
          <w:rFonts w:cs="Arial"/>
          <w:sz w:val="20"/>
          <w:szCs w:val="20"/>
          <w:lang w:val="it-IT"/>
        </w:rPr>
        <w:t>Moncharmont</w:t>
      </w:r>
      <w:proofErr w:type="spellEnd"/>
      <w:r w:rsidR="00523962" w:rsidRPr="00045269">
        <w:rPr>
          <w:rFonts w:cs="Arial"/>
          <w:sz w:val="20"/>
          <w:szCs w:val="20"/>
          <w:lang w:val="it-IT"/>
        </w:rPr>
        <w:t xml:space="preserve"> B, Florio T, Daniele A.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proofErr w:type="spellStart"/>
      <w:r w:rsidRPr="00045269">
        <w:rPr>
          <w:rFonts w:cs="Arial"/>
          <w:sz w:val="20"/>
          <w:szCs w:val="20"/>
          <w:lang w:val="en-US"/>
        </w:rPr>
        <w:t>Adiponectin</w:t>
      </w:r>
      <w:proofErr w:type="spellEnd"/>
      <w:r w:rsidRPr="00045269">
        <w:rPr>
          <w:rFonts w:cs="Arial"/>
          <w:sz w:val="20"/>
          <w:szCs w:val="20"/>
          <w:lang w:val="en-US"/>
        </w:rPr>
        <w:t xml:space="preserve"> as novel regulator of cell</w:t>
      </w:r>
      <w:r w:rsidR="00045269" w:rsidRPr="00045269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proliferation in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>. J Cell Physiol. 2014 Oct;229(10):1444-54.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</w:t>
      </w:r>
      <w:r w:rsidR="00523962" w:rsidRPr="00523962">
        <w:rPr>
          <w:rFonts w:cs="Arial"/>
          <w:sz w:val="20"/>
          <w:szCs w:val="20"/>
        </w:rPr>
        <w:t xml:space="preserve">: </w:t>
      </w:r>
      <w:proofErr w:type="spellStart"/>
      <w:r w:rsidR="00523962" w:rsidRPr="00523962">
        <w:rPr>
          <w:rFonts w:cs="Arial"/>
          <w:sz w:val="20"/>
          <w:szCs w:val="20"/>
        </w:rPr>
        <w:t>Würth</w:t>
      </w:r>
      <w:proofErr w:type="spellEnd"/>
      <w:r w:rsidR="00523962" w:rsidRPr="00523962">
        <w:rPr>
          <w:rFonts w:cs="Arial"/>
          <w:sz w:val="20"/>
          <w:szCs w:val="20"/>
        </w:rPr>
        <w:t xml:space="preserve"> R, </w:t>
      </w:r>
      <w:proofErr w:type="spellStart"/>
      <w:r w:rsidR="00523962" w:rsidRPr="00223B5C">
        <w:rPr>
          <w:rFonts w:cs="Arial"/>
          <w:b/>
          <w:sz w:val="20"/>
          <w:szCs w:val="20"/>
        </w:rPr>
        <w:t>Barbieri</w:t>
      </w:r>
      <w:proofErr w:type="spellEnd"/>
      <w:r w:rsidR="00523962" w:rsidRPr="00223B5C">
        <w:rPr>
          <w:rFonts w:cs="Arial"/>
          <w:b/>
          <w:sz w:val="20"/>
          <w:szCs w:val="20"/>
        </w:rPr>
        <w:t xml:space="preserve"> F,</w:t>
      </w:r>
      <w:r w:rsidR="00523962" w:rsidRPr="00523962">
        <w:rPr>
          <w:rFonts w:cs="Arial"/>
          <w:sz w:val="20"/>
          <w:szCs w:val="20"/>
        </w:rPr>
        <w:t xml:space="preserve"> Florio T.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>New molecules and old drugs as emerging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approaches to selectively target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cancer stem cells. Biomed Res</w:t>
      </w:r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Int. 2014;2014:126586.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  <w:lang w:val="en-US"/>
        </w:rPr>
        <w:t>19</w:t>
      </w:r>
      <w:r w:rsidR="00523962" w:rsidRPr="00045269">
        <w:rPr>
          <w:rFonts w:cs="Arial"/>
          <w:sz w:val="20"/>
          <w:szCs w:val="20"/>
          <w:lang w:val="en-US"/>
        </w:rPr>
        <w:t xml:space="preserve">: </w:t>
      </w:r>
      <w:proofErr w:type="spellStart"/>
      <w:r w:rsidR="00523962" w:rsidRPr="00045269">
        <w:rPr>
          <w:rFonts w:cs="Arial"/>
          <w:b/>
          <w:sz w:val="20"/>
          <w:szCs w:val="20"/>
          <w:lang w:val="en-US"/>
        </w:rPr>
        <w:t>Barbieri</w:t>
      </w:r>
      <w:proofErr w:type="spellEnd"/>
      <w:r w:rsidR="00523962" w:rsidRPr="00045269">
        <w:rPr>
          <w:rFonts w:cs="Arial"/>
          <w:b/>
          <w:sz w:val="20"/>
          <w:szCs w:val="20"/>
          <w:lang w:val="en-US"/>
        </w:rPr>
        <w:t xml:space="preserve"> F</w:t>
      </w:r>
      <w:r w:rsidR="00523962" w:rsidRPr="00045269">
        <w:rPr>
          <w:rFonts w:cs="Arial"/>
          <w:sz w:val="20"/>
          <w:szCs w:val="20"/>
          <w:lang w:val="en-US"/>
        </w:rPr>
        <w:t xml:space="preserve">, Albertelli M, </w:t>
      </w:r>
      <w:proofErr w:type="spellStart"/>
      <w:r w:rsidR="00523962" w:rsidRPr="00045269">
        <w:rPr>
          <w:rFonts w:cs="Arial"/>
          <w:sz w:val="20"/>
          <w:szCs w:val="20"/>
          <w:lang w:val="en-US"/>
        </w:rPr>
        <w:t>Grillo</w:t>
      </w:r>
      <w:proofErr w:type="spellEnd"/>
      <w:r w:rsidR="00523962" w:rsidRPr="00045269">
        <w:rPr>
          <w:rFonts w:cs="Arial"/>
          <w:sz w:val="20"/>
          <w:szCs w:val="20"/>
          <w:lang w:val="en-US"/>
        </w:rPr>
        <w:t xml:space="preserve"> F, Mohamed A, </w:t>
      </w:r>
      <w:proofErr w:type="spellStart"/>
      <w:r w:rsidR="00523962" w:rsidRPr="00045269">
        <w:rPr>
          <w:rFonts w:cs="Arial"/>
          <w:sz w:val="20"/>
          <w:szCs w:val="20"/>
          <w:lang w:val="en-US"/>
        </w:rPr>
        <w:t>Saveanu</w:t>
      </w:r>
      <w:proofErr w:type="spellEnd"/>
      <w:r w:rsidR="00523962" w:rsidRPr="00045269">
        <w:rPr>
          <w:rFonts w:cs="Arial"/>
          <w:sz w:val="20"/>
          <w:szCs w:val="20"/>
          <w:lang w:val="en-US"/>
        </w:rPr>
        <w:t xml:space="preserve"> A, Barlier A, Ferone</w:t>
      </w:r>
      <w:r w:rsidR="00045269" w:rsidRPr="00045269">
        <w:rPr>
          <w:rFonts w:cs="Arial"/>
          <w:sz w:val="20"/>
          <w:szCs w:val="20"/>
          <w:lang w:val="en-US"/>
        </w:rPr>
        <w:t xml:space="preserve"> </w:t>
      </w:r>
      <w:r w:rsidR="00523962" w:rsidRPr="00523962">
        <w:rPr>
          <w:rFonts w:cs="Arial"/>
          <w:sz w:val="20"/>
          <w:szCs w:val="20"/>
        </w:rPr>
        <w:t xml:space="preserve">D, Florio T. </w:t>
      </w:r>
    </w:p>
    <w:p w:rsidR="00523962" w:rsidRPr="00045269" w:rsidRDefault="00523962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523962">
        <w:rPr>
          <w:rFonts w:cs="Arial"/>
          <w:sz w:val="20"/>
          <w:szCs w:val="20"/>
        </w:rPr>
        <w:t xml:space="preserve">Neuroendocrine </w:t>
      </w:r>
      <w:proofErr w:type="spellStart"/>
      <w:r w:rsidRPr="00523962">
        <w:rPr>
          <w:rFonts w:cs="Arial"/>
          <w:sz w:val="20"/>
          <w:szCs w:val="20"/>
        </w:rPr>
        <w:t>tumors</w:t>
      </w:r>
      <w:proofErr w:type="spellEnd"/>
      <w:r w:rsidRPr="00523962">
        <w:rPr>
          <w:rFonts w:cs="Arial"/>
          <w:sz w:val="20"/>
          <w:szCs w:val="20"/>
        </w:rPr>
        <w:t xml:space="preserve">: insights into innovative therapeutic options and rational development of targeted therapies. Drug </w:t>
      </w:r>
      <w:proofErr w:type="spellStart"/>
      <w:r w:rsidRPr="00523962">
        <w:rPr>
          <w:rFonts w:cs="Arial"/>
          <w:sz w:val="20"/>
          <w:szCs w:val="20"/>
        </w:rPr>
        <w:t>Discov</w:t>
      </w:r>
      <w:proofErr w:type="spellEnd"/>
      <w:r w:rsidRPr="00523962">
        <w:rPr>
          <w:rFonts w:cs="Arial"/>
          <w:sz w:val="20"/>
          <w:szCs w:val="20"/>
        </w:rPr>
        <w:t xml:space="preserve"> Today. </w:t>
      </w:r>
      <w:r w:rsidRPr="00045269">
        <w:rPr>
          <w:rFonts w:cs="Arial"/>
          <w:sz w:val="20"/>
          <w:szCs w:val="20"/>
          <w:lang w:val="it-IT"/>
        </w:rPr>
        <w:t>2014</w:t>
      </w:r>
      <w:r w:rsidR="00045269" w:rsidRPr="00045269">
        <w:rPr>
          <w:rFonts w:cs="Arial"/>
          <w:sz w:val="20"/>
          <w:szCs w:val="20"/>
          <w:lang w:val="it-IT"/>
        </w:rPr>
        <w:t xml:space="preserve"> </w:t>
      </w:r>
      <w:r w:rsidRPr="00045269">
        <w:rPr>
          <w:rFonts w:cs="Arial"/>
          <w:sz w:val="20"/>
          <w:szCs w:val="20"/>
          <w:lang w:val="it-IT"/>
        </w:rPr>
        <w:t xml:space="preserve">Apr;19(4):458-68. </w:t>
      </w:r>
    </w:p>
    <w:p w:rsidR="00223B5C" w:rsidRPr="00045269" w:rsidRDefault="00223B5C" w:rsidP="00045269">
      <w:pPr>
        <w:ind w:right="453"/>
        <w:jc w:val="both"/>
        <w:rPr>
          <w:rFonts w:cs="Arial"/>
          <w:sz w:val="20"/>
          <w:szCs w:val="20"/>
          <w:lang w:val="it-IT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 w:rsidRPr="00223B5C">
        <w:rPr>
          <w:rFonts w:cs="Arial"/>
          <w:sz w:val="20"/>
          <w:szCs w:val="20"/>
          <w:lang w:val="it-IT"/>
        </w:rPr>
        <w:t>20</w:t>
      </w:r>
      <w:r w:rsidR="00523962" w:rsidRPr="00523962">
        <w:rPr>
          <w:rFonts w:cs="Arial"/>
          <w:sz w:val="20"/>
          <w:szCs w:val="20"/>
          <w:lang w:val="it-IT"/>
        </w:rPr>
        <w:t xml:space="preserve">: Gatti M,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R, Daga A, Fiaschi P, Zona G, Florio </w:t>
      </w:r>
      <w:r w:rsidR="00523962" w:rsidRPr="00045269">
        <w:rPr>
          <w:rFonts w:cs="Arial"/>
          <w:sz w:val="20"/>
          <w:szCs w:val="20"/>
          <w:lang w:val="it-IT"/>
        </w:rPr>
        <w:t xml:space="preserve">T, </w:t>
      </w:r>
      <w:r w:rsidR="00523962" w:rsidRPr="00045269">
        <w:rPr>
          <w:rFonts w:cs="Arial"/>
          <w:b/>
          <w:sz w:val="20"/>
          <w:szCs w:val="20"/>
          <w:lang w:val="it-IT"/>
        </w:rPr>
        <w:t>Barbieri F</w:t>
      </w:r>
      <w:r w:rsidR="00523962" w:rsidRPr="00045269">
        <w:rPr>
          <w:rFonts w:cs="Arial"/>
          <w:sz w:val="20"/>
          <w:szCs w:val="20"/>
          <w:lang w:val="it-IT"/>
        </w:rPr>
        <w:t xml:space="preserve">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  <w:lang w:val="en-US"/>
        </w:rPr>
        <w:t xml:space="preserve">Inhibition of CXCL12/CXCR4 </w:t>
      </w:r>
      <w:proofErr w:type="spellStart"/>
      <w:r w:rsidRPr="00045269">
        <w:rPr>
          <w:rFonts w:cs="Arial"/>
          <w:sz w:val="20"/>
          <w:szCs w:val="20"/>
          <w:lang w:val="en-US"/>
        </w:rPr>
        <w:t>autocrine</w:t>
      </w:r>
      <w:proofErr w:type="spellEnd"/>
      <w:r w:rsidRPr="00045269">
        <w:rPr>
          <w:rFonts w:cs="Arial"/>
          <w:sz w:val="20"/>
          <w:szCs w:val="20"/>
          <w:lang w:val="en-US"/>
        </w:rPr>
        <w:t>/paracrine loop reduces</w:t>
      </w:r>
      <w:r w:rsidR="00045269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viability of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stem-like cells affecting self-renewal activity. Toxicology. 2013 Dec 15;314(2-3):209-20.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</w:rPr>
        <w:t>21</w:t>
      </w:r>
      <w:r w:rsidR="00523962" w:rsidRPr="00045269">
        <w:rPr>
          <w:rFonts w:cs="Arial"/>
          <w:sz w:val="20"/>
          <w:szCs w:val="20"/>
        </w:rPr>
        <w:t xml:space="preserve">: Vitale RM, </w:t>
      </w:r>
      <w:proofErr w:type="spellStart"/>
      <w:r w:rsidR="00523962" w:rsidRPr="00045269">
        <w:rPr>
          <w:rFonts w:cs="Arial"/>
          <w:sz w:val="20"/>
          <w:szCs w:val="20"/>
        </w:rPr>
        <w:t>Gatti</w:t>
      </w:r>
      <w:proofErr w:type="spellEnd"/>
      <w:r w:rsidR="00523962" w:rsidRPr="00045269">
        <w:rPr>
          <w:rFonts w:cs="Arial"/>
          <w:sz w:val="20"/>
          <w:szCs w:val="20"/>
        </w:rPr>
        <w:t xml:space="preserve"> M, Carbone M, </w:t>
      </w:r>
      <w:proofErr w:type="spellStart"/>
      <w:r w:rsidR="00523962" w:rsidRPr="00045269">
        <w:rPr>
          <w:rFonts w:cs="Arial"/>
          <w:b/>
          <w:sz w:val="20"/>
          <w:szCs w:val="20"/>
        </w:rPr>
        <w:t>Barbieri</w:t>
      </w:r>
      <w:proofErr w:type="spellEnd"/>
      <w:r w:rsidR="00523962" w:rsidRPr="00045269">
        <w:rPr>
          <w:rFonts w:cs="Arial"/>
          <w:b/>
          <w:sz w:val="20"/>
          <w:szCs w:val="20"/>
        </w:rPr>
        <w:t xml:space="preserve"> F</w:t>
      </w:r>
      <w:r w:rsidR="00523962" w:rsidRPr="00045269">
        <w:rPr>
          <w:rFonts w:cs="Arial"/>
          <w:sz w:val="20"/>
          <w:szCs w:val="20"/>
        </w:rPr>
        <w:t xml:space="preserve">, </w:t>
      </w:r>
      <w:proofErr w:type="spellStart"/>
      <w:r w:rsidR="00523962" w:rsidRPr="00045269">
        <w:rPr>
          <w:rFonts w:cs="Arial"/>
          <w:sz w:val="20"/>
          <w:szCs w:val="20"/>
        </w:rPr>
        <w:t>Felicità</w:t>
      </w:r>
      <w:proofErr w:type="spellEnd"/>
      <w:r w:rsidR="00523962" w:rsidRPr="00045269">
        <w:rPr>
          <w:rFonts w:cs="Arial"/>
          <w:sz w:val="20"/>
          <w:szCs w:val="20"/>
        </w:rPr>
        <w:t xml:space="preserve"> V, </w:t>
      </w:r>
      <w:proofErr w:type="spellStart"/>
      <w:r w:rsidR="00523962" w:rsidRPr="00045269">
        <w:rPr>
          <w:rFonts w:cs="Arial"/>
          <w:sz w:val="20"/>
          <w:szCs w:val="20"/>
        </w:rPr>
        <w:t>Gavagnin</w:t>
      </w:r>
      <w:proofErr w:type="spellEnd"/>
      <w:r w:rsidR="00523962" w:rsidRPr="00045269">
        <w:rPr>
          <w:rFonts w:cs="Arial"/>
          <w:sz w:val="20"/>
          <w:szCs w:val="20"/>
        </w:rPr>
        <w:t xml:space="preserve"> M, Florio T, </w:t>
      </w:r>
      <w:proofErr w:type="spellStart"/>
      <w:r w:rsidR="00523962" w:rsidRPr="00523962">
        <w:rPr>
          <w:rFonts w:cs="Arial"/>
          <w:sz w:val="20"/>
          <w:szCs w:val="20"/>
        </w:rPr>
        <w:t>Amodeo</w:t>
      </w:r>
      <w:proofErr w:type="spellEnd"/>
      <w:r w:rsidR="00523962" w:rsidRPr="00523962">
        <w:rPr>
          <w:rFonts w:cs="Arial"/>
          <w:sz w:val="20"/>
          <w:szCs w:val="20"/>
        </w:rPr>
        <w:t xml:space="preserve"> P.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Minimalist hybrid ligand/receptor-based </w:t>
      </w:r>
      <w:proofErr w:type="spellStart"/>
      <w:r w:rsidRPr="00523962">
        <w:rPr>
          <w:rFonts w:cs="Arial"/>
          <w:sz w:val="20"/>
          <w:szCs w:val="20"/>
        </w:rPr>
        <w:t>pharmacophore</w:t>
      </w:r>
      <w:proofErr w:type="spellEnd"/>
      <w:r w:rsidRPr="00523962">
        <w:rPr>
          <w:rFonts w:cs="Arial"/>
          <w:sz w:val="20"/>
          <w:szCs w:val="20"/>
        </w:rPr>
        <w:t xml:space="preserve"> model for CXCR4</w:t>
      </w:r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>applied to a small-library of marine natural products led to the identification</w:t>
      </w:r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of </w:t>
      </w:r>
      <w:proofErr w:type="spellStart"/>
      <w:r w:rsidRPr="00523962">
        <w:rPr>
          <w:rFonts w:cs="Arial"/>
          <w:sz w:val="20"/>
          <w:szCs w:val="20"/>
        </w:rPr>
        <w:t>phidianidine</w:t>
      </w:r>
      <w:proofErr w:type="spellEnd"/>
      <w:r w:rsidRPr="00523962">
        <w:rPr>
          <w:rFonts w:cs="Arial"/>
          <w:sz w:val="20"/>
          <w:szCs w:val="20"/>
        </w:rPr>
        <w:t xml:space="preserve"> a as a new CXCR4 ligand exhibiting antagonist activity. ACS </w:t>
      </w:r>
      <w:proofErr w:type="spellStart"/>
      <w:r w:rsidRPr="00523962">
        <w:rPr>
          <w:rFonts w:cs="Arial"/>
          <w:sz w:val="20"/>
          <w:szCs w:val="20"/>
        </w:rPr>
        <w:t>Chem</w:t>
      </w:r>
      <w:proofErr w:type="spellEnd"/>
      <w:r w:rsidRPr="00523962">
        <w:rPr>
          <w:rFonts w:cs="Arial"/>
          <w:sz w:val="20"/>
          <w:szCs w:val="20"/>
        </w:rPr>
        <w:t xml:space="preserve"> Biol. 2013 Dec 20;8(12):2762-70.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</w:rPr>
        <w:t>22</w:t>
      </w:r>
      <w:r w:rsidR="00523962" w:rsidRPr="00045269">
        <w:rPr>
          <w:rFonts w:cs="Arial"/>
          <w:sz w:val="20"/>
          <w:szCs w:val="20"/>
        </w:rPr>
        <w:t xml:space="preserve">: </w:t>
      </w:r>
      <w:proofErr w:type="spellStart"/>
      <w:r w:rsidR="00523962" w:rsidRPr="00045269">
        <w:rPr>
          <w:rFonts w:cs="Arial"/>
          <w:b/>
          <w:sz w:val="20"/>
          <w:szCs w:val="20"/>
        </w:rPr>
        <w:t>Barbieri</w:t>
      </w:r>
      <w:proofErr w:type="spellEnd"/>
      <w:r w:rsidR="00523962" w:rsidRPr="00045269">
        <w:rPr>
          <w:rFonts w:cs="Arial"/>
          <w:b/>
          <w:sz w:val="20"/>
          <w:szCs w:val="20"/>
        </w:rPr>
        <w:t xml:space="preserve"> F</w:t>
      </w:r>
      <w:r w:rsidR="00523962" w:rsidRPr="00045269">
        <w:rPr>
          <w:rFonts w:cs="Arial"/>
          <w:sz w:val="20"/>
          <w:szCs w:val="20"/>
        </w:rPr>
        <w:t xml:space="preserve">, </w:t>
      </w:r>
      <w:proofErr w:type="spellStart"/>
      <w:r w:rsidR="00523962" w:rsidRPr="00045269">
        <w:rPr>
          <w:rFonts w:cs="Arial"/>
          <w:sz w:val="20"/>
          <w:szCs w:val="20"/>
        </w:rPr>
        <w:t>Bajetto</w:t>
      </w:r>
      <w:proofErr w:type="spellEnd"/>
      <w:r w:rsidR="00523962" w:rsidRPr="00045269">
        <w:rPr>
          <w:rFonts w:cs="Arial"/>
          <w:sz w:val="20"/>
          <w:szCs w:val="20"/>
        </w:rPr>
        <w:t xml:space="preserve"> A, </w:t>
      </w:r>
      <w:proofErr w:type="spellStart"/>
      <w:r w:rsidR="00523962" w:rsidRPr="00045269">
        <w:rPr>
          <w:rFonts w:cs="Arial"/>
          <w:sz w:val="20"/>
          <w:szCs w:val="20"/>
        </w:rPr>
        <w:t>Pattarozzi</w:t>
      </w:r>
      <w:proofErr w:type="spellEnd"/>
      <w:r w:rsidR="00523962" w:rsidRPr="00045269">
        <w:rPr>
          <w:rFonts w:cs="Arial"/>
          <w:sz w:val="20"/>
          <w:szCs w:val="20"/>
        </w:rPr>
        <w:t xml:space="preserve"> A, </w:t>
      </w:r>
      <w:proofErr w:type="spellStart"/>
      <w:r w:rsidR="00523962" w:rsidRPr="00045269">
        <w:rPr>
          <w:rFonts w:cs="Arial"/>
          <w:sz w:val="20"/>
          <w:szCs w:val="20"/>
        </w:rPr>
        <w:t>Gatti</w:t>
      </w:r>
      <w:proofErr w:type="spellEnd"/>
      <w:r w:rsidR="00523962" w:rsidRPr="00045269">
        <w:rPr>
          <w:rFonts w:cs="Arial"/>
          <w:sz w:val="20"/>
          <w:szCs w:val="20"/>
        </w:rPr>
        <w:t xml:space="preserve"> M, </w:t>
      </w:r>
      <w:proofErr w:type="spellStart"/>
      <w:r w:rsidR="00523962" w:rsidRPr="00045269">
        <w:rPr>
          <w:rFonts w:cs="Arial"/>
          <w:sz w:val="20"/>
          <w:szCs w:val="20"/>
        </w:rPr>
        <w:t>Würth</w:t>
      </w:r>
      <w:proofErr w:type="spellEnd"/>
      <w:r w:rsidR="00523962" w:rsidRPr="00045269">
        <w:rPr>
          <w:rFonts w:cs="Arial"/>
          <w:sz w:val="20"/>
          <w:szCs w:val="20"/>
        </w:rPr>
        <w:t xml:space="preserve"> R, </w:t>
      </w:r>
      <w:proofErr w:type="spellStart"/>
      <w:r w:rsidR="00523962" w:rsidRPr="00045269">
        <w:rPr>
          <w:rFonts w:cs="Arial"/>
          <w:sz w:val="20"/>
          <w:szCs w:val="20"/>
        </w:rPr>
        <w:t>Thellung</w:t>
      </w:r>
      <w:proofErr w:type="spellEnd"/>
      <w:r w:rsidR="00523962" w:rsidRPr="00045269">
        <w:rPr>
          <w:rFonts w:cs="Arial"/>
          <w:sz w:val="20"/>
          <w:szCs w:val="20"/>
        </w:rPr>
        <w:t xml:space="preserve"> S, </w:t>
      </w:r>
      <w:proofErr w:type="spellStart"/>
      <w:r w:rsidR="00523962" w:rsidRPr="00045269">
        <w:rPr>
          <w:rFonts w:cs="Arial"/>
          <w:sz w:val="20"/>
          <w:szCs w:val="20"/>
        </w:rPr>
        <w:t>Corsaro</w:t>
      </w:r>
      <w:proofErr w:type="spellEnd"/>
      <w:r w:rsidR="00523962" w:rsidRPr="00045269">
        <w:rPr>
          <w:rFonts w:cs="Arial"/>
          <w:sz w:val="20"/>
          <w:szCs w:val="20"/>
        </w:rPr>
        <w:t xml:space="preserve"> A,</w:t>
      </w:r>
      <w:r w:rsidR="00045269" w:rsidRPr="00045269">
        <w:rPr>
          <w:rFonts w:cs="Arial"/>
          <w:sz w:val="20"/>
          <w:szCs w:val="20"/>
        </w:rPr>
        <w:t xml:space="preserve"> </w:t>
      </w:r>
      <w:r w:rsidR="00523962" w:rsidRPr="00523962">
        <w:rPr>
          <w:rFonts w:cs="Arial"/>
          <w:sz w:val="20"/>
          <w:szCs w:val="20"/>
        </w:rPr>
        <w:t xml:space="preserve">Villa V, </w:t>
      </w:r>
      <w:proofErr w:type="spellStart"/>
      <w:r w:rsidR="00523962" w:rsidRPr="00523962">
        <w:rPr>
          <w:rFonts w:cs="Arial"/>
          <w:sz w:val="20"/>
          <w:szCs w:val="20"/>
        </w:rPr>
        <w:t>Nizzari</w:t>
      </w:r>
      <w:proofErr w:type="spellEnd"/>
      <w:r w:rsidR="00523962" w:rsidRPr="00523962">
        <w:rPr>
          <w:rFonts w:cs="Arial"/>
          <w:sz w:val="20"/>
          <w:szCs w:val="20"/>
        </w:rPr>
        <w:t xml:space="preserve"> M, Florio T.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>Peptide receptor targeting in cancer: the</w:t>
      </w:r>
      <w:r w:rsidR="00045269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somatostatin</w:t>
      </w:r>
      <w:proofErr w:type="spellEnd"/>
      <w:r w:rsidRPr="00523962">
        <w:rPr>
          <w:rFonts w:cs="Arial"/>
          <w:sz w:val="20"/>
          <w:szCs w:val="20"/>
        </w:rPr>
        <w:t xml:space="preserve"> paradigm. </w:t>
      </w:r>
      <w:proofErr w:type="spellStart"/>
      <w:r w:rsidRPr="00523962">
        <w:rPr>
          <w:rFonts w:cs="Arial"/>
          <w:sz w:val="20"/>
          <w:szCs w:val="20"/>
        </w:rPr>
        <w:t>Int</w:t>
      </w:r>
      <w:proofErr w:type="spellEnd"/>
      <w:r w:rsidRPr="00523962">
        <w:rPr>
          <w:rFonts w:cs="Arial"/>
          <w:sz w:val="20"/>
          <w:szCs w:val="20"/>
        </w:rPr>
        <w:t xml:space="preserve"> J </w:t>
      </w:r>
      <w:proofErr w:type="spellStart"/>
      <w:r w:rsidRPr="00523962">
        <w:rPr>
          <w:rFonts w:cs="Arial"/>
          <w:sz w:val="20"/>
          <w:szCs w:val="20"/>
        </w:rPr>
        <w:t>Pept</w:t>
      </w:r>
      <w:proofErr w:type="spellEnd"/>
      <w:r w:rsidRPr="00523962">
        <w:rPr>
          <w:rFonts w:cs="Arial"/>
          <w:sz w:val="20"/>
          <w:szCs w:val="20"/>
        </w:rPr>
        <w:t xml:space="preserve">. 2013;2013:926295.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</w:rPr>
        <w:t>23</w:t>
      </w:r>
      <w:r w:rsidR="00523962" w:rsidRPr="00045269">
        <w:rPr>
          <w:rFonts w:cs="Arial"/>
          <w:sz w:val="20"/>
          <w:szCs w:val="20"/>
        </w:rPr>
        <w:t xml:space="preserve">: </w:t>
      </w:r>
      <w:proofErr w:type="spellStart"/>
      <w:r w:rsidR="00523962" w:rsidRPr="00045269">
        <w:rPr>
          <w:rFonts w:cs="Arial"/>
          <w:sz w:val="20"/>
          <w:szCs w:val="20"/>
        </w:rPr>
        <w:t>Carra</w:t>
      </w:r>
      <w:proofErr w:type="spellEnd"/>
      <w:r w:rsidR="00523962" w:rsidRPr="00045269">
        <w:rPr>
          <w:rFonts w:cs="Arial"/>
          <w:sz w:val="20"/>
          <w:szCs w:val="20"/>
        </w:rPr>
        <w:t xml:space="preserve"> E, </w:t>
      </w:r>
      <w:proofErr w:type="spellStart"/>
      <w:r w:rsidR="00523962" w:rsidRPr="00045269">
        <w:rPr>
          <w:rFonts w:cs="Arial"/>
          <w:sz w:val="20"/>
          <w:szCs w:val="20"/>
        </w:rPr>
        <w:t>Barbieri</w:t>
      </w:r>
      <w:proofErr w:type="spellEnd"/>
      <w:r w:rsidR="00523962" w:rsidRPr="00045269">
        <w:rPr>
          <w:rFonts w:cs="Arial"/>
          <w:sz w:val="20"/>
          <w:szCs w:val="20"/>
        </w:rPr>
        <w:t xml:space="preserve"> F, </w:t>
      </w:r>
      <w:proofErr w:type="spellStart"/>
      <w:r w:rsidR="00523962" w:rsidRPr="00045269">
        <w:rPr>
          <w:rFonts w:cs="Arial"/>
          <w:sz w:val="20"/>
          <w:szCs w:val="20"/>
        </w:rPr>
        <w:t>Marubbi</w:t>
      </w:r>
      <w:proofErr w:type="spellEnd"/>
      <w:r w:rsidR="00523962" w:rsidRPr="00045269">
        <w:rPr>
          <w:rFonts w:cs="Arial"/>
          <w:sz w:val="20"/>
          <w:szCs w:val="20"/>
        </w:rPr>
        <w:t xml:space="preserve"> D, </w:t>
      </w:r>
      <w:proofErr w:type="spellStart"/>
      <w:r w:rsidR="00523962" w:rsidRPr="00045269">
        <w:rPr>
          <w:rFonts w:cs="Arial"/>
          <w:sz w:val="20"/>
          <w:szCs w:val="20"/>
        </w:rPr>
        <w:t>Pattarozzi</w:t>
      </w:r>
      <w:proofErr w:type="spellEnd"/>
      <w:r w:rsidR="00523962" w:rsidRPr="00045269">
        <w:rPr>
          <w:rFonts w:cs="Arial"/>
          <w:sz w:val="20"/>
          <w:szCs w:val="20"/>
        </w:rPr>
        <w:t xml:space="preserve"> A, </w:t>
      </w:r>
      <w:proofErr w:type="spellStart"/>
      <w:r w:rsidR="00523962" w:rsidRPr="00045269">
        <w:rPr>
          <w:rFonts w:cs="Arial"/>
          <w:sz w:val="20"/>
          <w:szCs w:val="20"/>
        </w:rPr>
        <w:t>Favoni</w:t>
      </w:r>
      <w:proofErr w:type="spellEnd"/>
      <w:r w:rsidR="00523962" w:rsidRPr="00045269">
        <w:rPr>
          <w:rFonts w:cs="Arial"/>
          <w:sz w:val="20"/>
          <w:szCs w:val="20"/>
        </w:rPr>
        <w:t xml:space="preserve"> RE, Florio T, </w:t>
      </w:r>
      <w:proofErr w:type="spellStart"/>
      <w:r w:rsidR="00523962" w:rsidRPr="00045269">
        <w:rPr>
          <w:rFonts w:cs="Arial"/>
          <w:sz w:val="20"/>
          <w:szCs w:val="20"/>
        </w:rPr>
        <w:t>Daga</w:t>
      </w:r>
      <w:proofErr w:type="spellEnd"/>
      <w:r w:rsidR="00523962" w:rsidRPr="00045269">
        <w:rPr>
          <w:rFonts w:cs="Arial"/>
          <w:sz w:val="20"/>
          <w:szCs w:val="20"/>
        </w:rPr>
        <w:t xml:space="preserve"> A.</w:t>
      </w:r>
      <w:r w:rsidR="00045269" w:rsidRPr="00045269">
        <w:rPr>
          <w:rFonts w:cs="Arial"/>
          <w:sz w:val="20"/>
          <w:szCs w:val="20"/>
        </w:rPr>
        <w:t xml:space="preserve">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proofErr w:type="spellStart"/>
      <w:r w:rsidRPr="00523962">
        <w:rPr>
          <w:rFonts w:cs="Arial"/>
          <w:sz w:val="20"/>
          <w:szCs w:val="20"/>
        </w:rPr>
        <w:t>Sorafenib</w:t>
      </w:r>
      <w:proofErr w:type="spellEnd"/>
      <w:r w:rsidRPr="00523962">
        <w:rPr>
          <w:rFonts w:cs="Arial"/>
          <w:sz w:val="20"/>
          <w:szCs w:val="20"/>
        </w:rPr>
        <w:t xml:space="preserve"> selectively depletes human </w:t>
      </w:r>
      <w:proofErr w:type="spellStart"/>
      <w:r w:rsidRPr="00523962">
        <w:rPr>
          <w:rFonts w:cs="Arial"/>
          <w:sz w:val="20"/>
          <w:szCs w:val="20"/>
        </w:rPr>
        <w:t>glioblastoma</w:t>
      </w:r>
      <w:proofErr w:type="spellEnd"/>
      <w:r w:rsidRPr="00523962">
        <w:rPr>
          <w:rFonts w:cs="Arial"/>
          <w:sz w:val="20"/>
          <w:szCs w:val="20"/>
        </w:rPr>
        <w:t xml:space="preserve">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>-initiating cells from</w:t>
      </w:r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primary cultures. Cell Cycle. 2013 Feb 1;12(3):491-500.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24</w:t>
      </w:r>
      <w:r w:rsidR="00523962" w:rsidRPr="00523962">
        <w:rPr>
          <w:rFonts w:cs="Arial"/>
          <w:sz w:val="20"/>
          <w:szCs w:val="20"/>
          <w:lang w:val="it-IT"/>
        </w:rPr>
        <w:t xml:space="preserve">: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Würth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R,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Pattarozzi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Gatti M,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Bajetto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A, Corsaro A, Parodi A,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Sirito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R,</w:t>
      </w:r>
      <w:r w:rsidR="00045269">
        <w:rPr>
          <w:rFonts w:cs="Arial"/>
          <w:sz w:val="20"/>
          <w:szCs w:val="20"/>
          <w:lang w:val="it-IT"/>
        </w:rPr>
        <w:t xml:space="preserve">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Massollo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M, Marini C, Zona G, Fenoglio D, </w:t>
      </w:r>
      <w:proofErr w:type="spellStart"/>
      <w:r w:rsidR="00523962" w:rsidRPr="00523962">
        <w:rPr>
          <w:rFonts w:cs="Arial"/>
          <w:sz w:val="20"/>
          <w:szCs w:val="20"/>
          <w:lang w:val="it-IT"/>
        </w:rPr>
        <w:t>Sambuceti</w:t>
      </w:r>
      <w:proofErr w:type="spellEnd"/>
      <w:r w:rsidR="00523962" w:rsidRPr="00523962">
        <w:rPr>
          <w:rFonts w:cs="Arial"/>
          <w:sz w:val="20"/>
          <w:szCs w:val="20"/>
          <w:lang w:val="it-IT"/>
        </w:rPr>
        <w:t xml:space="preserve"> G, Filaci G, Daga A, </w:t>
      </w:r>
      <w:r w:rsidR="00523962" w:rsidRPr="00223B5C">
        <w:rPr>
          <w:rFonts w:cs="Arial"/>
          <w:b/>
          <w:sz w:val="20"/>
          <w:szCs w:val="20"/>
          <w:lang w:val="it-IT"/>
        </w:rPr>
        <w:t>Barbieri</w:t>
      </w:r>
      <w:r w:rsidR="00045269">
        <w:rPr>
          <w:rFonts w:cs="Arial"/>
          <w:b/>
          <w:sz w:val="20"/>
          <w:szCs w:val="20"/>
          <w:lang w:val="it-IT"/>
        </w:rPr>
        <w:t xml:space="preserve"> </w:t>
      </w:r>
      <w:r w:rsidR="00523962" w:rsidRPr="00045269">
        <w:rPr>
          <w:rFonts w:cs="Arial"/>
          <w:b/>
          <w:sz w:val="20"/>
          <w:szCs w:val="20"/>
          <w:lang w:val="it-IT"/>
        </w:rPr>
        <w:t>F</w:t>
      </w:r>
      <w:r w:rsidR="00523962" w:rsidRPr="00045269">
        <w:rPr>
          <w:rFonts w:cs="Arial"/>
          <w:sz w:val="20"/>
          <w:szCs w:val="20"/>
          <w:lang w:val="it-IT"/>
        </w:rPr>
        <w:t xml:space="preserve">, Florio T.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045269">
        <w:rPr>
          <w:rFonts w:cs="Arial"/>
          <w:sz w:val="20"/>
          <w:szCs w:val="20"/>
          <w:lang w:val="en-US"/>
        </w:rPr>
        <w:t xml:space="preserve">Metformin selectively affects human </w:t>
      </w:r>
      <w:proofErr w:type="spellStart"/>
      <w:r w:rsidRPr="00045269">
        <w:rPr>
          <w:rFonts w:cs="Arial"/>
          <w:sz w:val="20"/>
          <w:szCs w:val="20"/>
          <w:lang w:val="en-US"/>
        </w:rPr>
        <w:t>glioblastoma</w:t>
      </w:r>
      <w:proofErr w:type="spellEnd"/>
      <w:r w:rsidRPr="00045269">
        <w:rPr>
          <w:rFonts w:cs="Arial"/>
          <w:sz w:val="20"/>
          <w:szCs w:val="20"/>
          <w:lang w:val="en-US"/>
        </w:rPr>
        <w:t xml:space="preserve"> tumor-initiating</w:t>
      </w:r>
      <w:r w:rsidR="00045269" w:rsidRPr="00045269">
        <w:rPr>
          <w:rFonts w:cs="Arial"/>
          <w:sz w:val="20"/>
          <w:szCs w:val="20"/>
          <w:lang w:val="en-US"/>
        </w:rPr>
        <w:t xml:space="preserve"> </w:t>
      </w:r>
      <w:r w:rsidRPr="00523962">
        <w:rPr>
          <w:rFonts w:cs="Arial"/>
          <w:sz w:val="20"/>
          <w:szCs w:val="20"/>
        </w:rPr>
        <w:t xml:space="preserve">cell viability: A role for metformin-induced inhibition of </w:t>
      </w:r>
      <w:proofErr w:type="spellStart"/>
      <w:r w:rsidRPr="00523962">
        <w:rPr>
          <w:rFonts w:cs="Arial"/>
          <w:sz w:val="20"/>
          <w:szCs w:val="20"/>
        </w:rPr>
        <w:t>Akt</w:t>
      </w:r>
      <w:proofErr w:type="spellEnd"/>
      <w:r w:rsidRPr="00523962">
        <w:rPr>
          <w:rFonts w:cs="Arial"/>
          <w:sz w:val="20"/>
          <w:szCs w:val="20"/>
        </w:rPr>
        <w:t xml:space="preserve">. Cell Cycle. 2013 Jan 1;12(1):145-56. </w:t>
      </w:r>
    </w:p>
    <w:p w:rsidR="00523962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</w:p>
    <w:p w:rsidR="00045269" w:rsidRDefault="00223B5C" w:rsidP="00045269">
      <w:pPr>
        <w:ind w:right="4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25</w:t>
      </w:r>
      <w:r w:rsidR="00523962" w:rsidRPr="00523962">
        <w:rPr>
          <w:rFonts w:cs="Arial"/>
          <w:sz w:val="20"/>
          <w:szCs w:val="20"/>
        </w:rPr>
        <w:t xml:space="preserve">: Florio T, </w:t>
      </w:r>
      <w:proofErr w:type="spellStart"/>
      <w:r w:rsidR="00523962" w:rsidRPr="00223B5C">
        <w:rPr>
          <w:rFonts w:cs="Arial"/>
          <w:b/>
          <w:sz w:val="20"/>
          <w:szCs w:val="20"/>
        </w:rPr>
        <w:t>Barbieri</w:t>
      </w:r>
      <w:proofErr w:type="spellEnd"/>
      <w:r w:rsidR="00523962" w:rsidRPr="00223B5C">
        <w:rPr>
          <w:rFonts w:cs="Arial"/>
          <w:b/>
          <w:sz w:val="20"/>
          <w:szCs w:val="20"/>
        </w:rPr>
        <w:t xml:space="preserve"> F</w:t>
      </w:r>
      <w:r w:rsidR="00523962" w:rsidRPr="00523962">
        <w:rPr>
          <w:rFonts w:cs="Arial"/>
          <w:sz w:val="20"/>
          <w:szCs w:val="20"/>
        </w:rPr>
        <w:t xml:space="preserve">. </w:t>
      </w:r>
    </w:p>
    <w:p w:rsidR="00C86CD8" w:rsidRPr="00523962" w:rsidRDefault="00523962" w:rsidP="00045269">
      <w:pPr>
        <w:ind w:right="453"/>
        <w:jc w:val="both"/>
        <w:rPr>
          <w:rFonts w:cs="Arial"/>
          <w:sz w:val="20"/>
          <w:szCs w:val="20"/>
        </w:rPr>
      </w:pPr>
      <w:r w:rsidRPr="00523962">
        <w:rPr>
          <w:rFonts w:cs="Arial"/>
          <w:sz w:val="20"/>
          <w:szCs w:val="20"/>
        </w:rPr>
        <w:t xml:space="preserve">The status of the art of human malignant </w:t>
      </w:r>
      <w:proofErr w:type="spellStart"/>
      <w:r w:rsidRPr="00523962">
        <w:rPr>
          <w:rFonts w:cs="Arial"/>
          <w:sz w:val="20"/>
          <w:szCs w:val="20"/>
        </w:rPr>
        <w:t>glioma</w:t>
      </w:r>
      <w:proofErr w:type="spellEnd"/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management: the promising role of targeting </w:t>
      </w:r>
      <w:proofErr w:type="spellStart"/>
      <w:r w:rsidRPr="00523962">
        <w:rPr>
          <w:rFonts w:cs="Arial"/>
          <w:sz w:val="20"/>
          <w:szCs w:val="20"/>
        </w:rPr>
        <w:t>tumor</w:t>
      </w:r>
      <w:proofErr w:type="spellEnd"/>
      <w:r w:rsidRPr="00523962">
        <w:rPr>
          <w:rFonts w:cs="Arial"/>
          <w:sz w:val="20"/>
          <w:szCs w:val="20"/>
        </w:rPr>
        <w:t xml:space="preserve">-initiating cells. Drug </w:t>
      </w:r>
      <w:proofErr w:type="spellStart"/>
      <w:r w:rsidRPr="00523962">
        <w:rPr>
          <w:rFonts w:cs="Arial"/>
          <w:sz w:val="20"/>
          <w:szCs w:val="20"/>
        </w:rPr>
        <w:t>Discov</w:t>
      </w:r>
      <w:proofErr w:type="spellEnd"/>
      <w:r w:rsidR="00045269">
        <w:rPr>
          <w:rFonts w:cs="Arial"/>
          <w:sz w:val="20"/>
          <w:szCs w:val="20"/>
        </w:rPr>
        <w:t xml:space="preserve"> </w:t>
      </w:r>
      <w:r w:rsidRPr="00523962">
        <w:rPr>
          <w:rFonts w:cs="Arial"/>
          <w:sz w:val="20"/>
          <w:szCs w:val="20"/>
        </w:rPr>
        <w:t xml:space="preserve">Today. 2012 Oct;17(19-20):1103-10. </w:t>
      </w:r>
    </w:p>
    <w:p w:rsidR="00523962" w:rsidRDefault="00523962" w:rsidP="00523962">
      <w:pPr>
        <w:jc w:val="both"/>
        <w:rPr>
          <w:rFonts w:cs="Arial"/>
          <w:b/>
          <w:sz w:val="20"/>
          <w:szCs w:val="20"/>
        </w:rPr>
      </w:pPr>
    </w:p>
    <w:p w:rsidR="00045269" w:rsidRDefault="00045269" w:rsidP="00523962">
      <w:pPr>
        <w:jc w:val="both"/>
        <w:rPr>
          <w:rFonts w:cs="Arial"/>
          <w:b/>
          <w:sz w:val="20"/>
          <w:szCs w:val="20"/>
        </w:rPr>
      </w:pPr>
    </w:p>
    <w:p w:rsidR="00045269" w:rsidRPr="00C86CD8" w:rsidRDefault="00045269" w:rsidP="00523962">
      <w:pPr>
        <w:jc w:val="both"/>
        <w:rPr>
          <w:rFonts w:cs="Arial"/>
          <w:b/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C86CD8" w:rsidRPr="00DE0981" w:rsidTr="005F12F3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6CD8" w:rsidRPr="00C86CD8" w:rsidRDefault="00C86CD8" w:rsidP="00C86CD8">
            <w:pPr>
              <w:pStyle w:val="ECVLeftDetails"/>
              <w:jc w:val="left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Dati personali</w:t>
            </w:r>
          </w:p>
        </w:tc>
        <w:tc>
          <w:tcPr>
            <w:tcW w:w="7541" w:type="dxa"/>
            <w:shd w:val="clear" w:color="auto" w:fill="auto"/>
          </w:tcPr>
          <w:p w:rsidR="00C86CD8" w:rsidRPr="00C86CD8" w:rsidRDefault="00C86CD8" w:rsidP="005F12F3">
            <w:pPr>
              <w:pStyle w:val="ECVSectionBullet"/>
              <w:rPr>
                <w:rFonts w:cs="Arial"/>
                <w:noProof/>
                <w:sz w:val="20"/>
                <w:szCs w:val="20"/>
                <w:lang w:val="it-IT"/>
              </w:rPr>
            </w:pPr>
            <w:r w:rsidRPr="00C86CD8">
              <w:rPr>
                <w:rFonts w:cs="Arial"/>
                <w:noProof/>
                <w:sz w:val="20"/>
                <w:szCs w:val="20"/>
                <w:lang w:val="it-IT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C86CD8" w:rsidRPr="00C86CD8" w:rsidRDefault="00C86CD8" w:rsidP="00C86CD8">
      <w:pPr>
        <w:pStyle w:val="ECVText"/>
        <w:rPr>
          <w:rFonts w:cs="Arial"/>
          <w:noProof/>
          <w:sz w:val="20"/>
          <w:szCs w:val="20"/>
          <w:lang w:val="it-IT"/>
        </w:rPr>
      </w:pPr>
    </w:p>
    <w:p w:rsidR="00C86CD8" w:rsidRPr="00C86CD8" w:rsidRDefault="00C86CD8" w:rsidP="00C86CD8">
      <w:pPr>
        <w:rPr>
          <w:rFonts w:cs="Arial"/>
          <w:b/>
          <w:sz w:val="20"/>
          <w:szCs w:val="20"/>
          <w:lang w:val="it-IT"/>
        </w:rPr>
      </w:pPr>
      <w:r w:rsidRPr="00C86CD8">
        <w:rPr>
          <w:rFonts w:cs="Arial"/>
          <w:b/>
          <w:sz w:val="20"/>
          <w:szCs w:val="20"/>
          <w:lang w:val="it-IT"/>
        </w:rPr>
        <w:t xml:space="preserve">Genova, </w:t>
      </w:r>
      <w:r w:rsidR="00223B5C">
        <w:rPr>
          <w:rFonts w:cs="Arial"/>
          <w:b/>
          <w:sz w:val="20"/>
          <w:szCs w:val="20"/>
          <w:lang w:val="it-IT"/>
        </w:rPr>
        <w:t>28 giugno 2017</w:t>
      </w:r>
    </w:p>
    <w:p w:rsidR="00C86CD8" w:rsidRPr="00C86CD8" w:rsidRDefault="00C86CD8" w:rsidP="00C86CD8">
      <w:pPr>
        <w:rPr>
          <w:rFonts w:cs="Arial"/>
          <w:sz w:val="20"/>
          <w:szCs w:val="20"/>
          <w:lang w:val="en-US"/>
        </w:rPr>
      </w:pPr>
      <w:r w:rsidRPr="00C86CD8">
        <w:rPr>
          <w:rFonts w:cs="Arial"/>
          <w:b/>
          <w:sz w:val="20"/>
          <w:szCs w:val="20"/>
          <w:lang w:val="it-IT"/>
        </w:rPr>
        <w:tab/>
      </w:r>
      <w:r w:rsidRPr="00C86CD8">
        <w:rPr>
          <w:rFonts w:cs="Arial"/>
          <w:b/>
          <w:sz w:val="20"/>
          <w:szCs w:val="20"/>
          <w:lang w:val="it-IT"/>
        </w:rPr>
        <w:tab/>
      </w:r>
      <w:r w:rsidRPr="00C86CD8">
        <w:rPr>
          <w:rFonts w:cs="Arial"/>
          <w:b/>
          <w:sz w:val="20"/>
          <w:szCs w:val="20"/>
          <w:lang w:val="it-IT"/>
        </w:rPr>
        <w:tab/>
      </w:r>
      <w:r w:rsidRPr="00C86CD8">
        <w:rPr>
          <w:rFonts w:cs="Arial"/>
          <w:b/>
          <w:sz w:val="20"/>
          <w:szCs w:val="20"/>
        </w:rPr>
        <w:object w:dxaOrig="2160" w:dyaOrig="1078">
          <v:shape id="_x0000_i1025" type="#_x0000_t75" style="width:108.5pt;height:54pt" o:ole="">
            <v:imagedata r:id="rId18" o:title=""/>
          </v:shape>
          <o:OLEObject Type="Embed" ProgID="Photoshop.Image.7" ShapeID="_x0000_i1025" DrawAspect="Content" ObjectID="_1557576391" r:id="rId19">
            <o:FieldCodes>\s</o:FieldCodes>
          </o:OLEObject>
        </w:object>
      </w:r>
    </w:p>
    <w:sectPr w:rsidR="00C86CD8" w:rsidRPr="00C86CD8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5B" w:rsidRDefault="0006765B">
      <w:r>
        <w:separator/>
      </w:r>
    </w:p>
  </w:endnote>
  <w:endnote w:type="continuationSeparator" w:id="0">
    <w:p w:rsidR="0006765B" w:rsidRDefault="000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W02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45269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45269">
      <w:rPr>
        <w:rFonts w:eastAsia="ArialMT" w:cs="ArialMT"/>
        <w:noProof/>
        <w:sz w:val="14"/>
        <w:szCs w:val="14"/>
        <w:lang w:val="it-IT"/>
      </w:rPr>
      <w:t>5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2A00A2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© Unione europea, 2002-2013 | http://europass.cedefop.europa.eu </w:t>
    </w:r>
    <w:r w:rsidRPr="00356960">
      <w:rPr>
        <w:rFonts w:ascii="ArialMT" w:eastAsia="ArialMT" w:hAnsi="ArialMT" w:cs="ArialMT"/>
        <w:sz w:val="14"/>
        <w:szCs w:val="14"/>
        <w:lang w:val="it-IT"/>
      </w:rPr>
      <w:tab/>
      <w:t>Pagina</w:t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045269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56960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045269">
      <w:rPr>
        <w:rFonts w:eastAsia="ArialMT" w:cs="ArialMT"/>
        <w:noProof/>
        <w:sz w:val="14"/>
        <w:szCs w:val="14"/>
        <w:lang w:val="it-IT"/>
      </w:rPr>
      <w:t>5</w:t>
    </w:r>
    <w:r>
      <w:rPr>
        <w:rFonts w:eastAsia="ArialMT" w:cs="ArialMT"/>
        <w:sz w:val="14"/>
        <w:szCs w:val="14"/>
      </w:rPr>
      <w:fldChar w:fldCharType="end"/>
    </w:r>
    <w:r w:rsidRPr="00356960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5B" w:rsidRDefault="0006765B">
      <w:r>
        <w:separator/>
      </w:r>
    </w:p>
  </w:footnote>
  <w:footnote w:type="continuationSeparator" w:id="0">
    <w:p w:rsidR="0006765B" w:rsidRDefault="0006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172161">
    <w:pPr>
      <w:pStyle w:val="ECVCurriculumVitaeNextPages"/>
      <w:rPr>
        <w:lang w:val="it-IT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497B25ED" wp14:editId="146ADE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</w:t>
    </w:r>
    <w:r w:rsidR="00C043E1">
      <w:rPr>
        <w:szCs w:val="20"/>
        <w:lang w:val="it-IT"/>
      </w:rPr>
      <w:t>Federica Barbieri</w:t>
    </w:r>
    <w:r w:rsidR="002A00A2" w:rsidRPr="00356960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A2" w:rsidRPr="00356960" w:rsidRDefault="00172161">
    <w:pPr>
      <w:pStyle w:val="ECVCurriculumVitaeNextPages"/>
      <w:rPr>
        <w:lang w:val="it-IT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17FC2ADD" wp14:editId="400531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A2" w:rsidRPr="00356960">
      <w:rPr>
        <w:lang w:val="it-IT"/>
      </w:rPr>
      <w:t xml:space="preserve"> </w:t>
    </w:r>
    <w:r w:rsidR="002A00A2" w:rsidRPr="00356960">
      <w:rPr>
        <w:lang w:val="it-IT"/>
      </w:rPr>
      <w:tab/>
      <w:t xml:space="preserve"> </w:t>
    </w:r>
    <w:r w:rsidR="002A00A2" w:rsidRPr="00356960">
      <w:rPr>
        <w:szCs w:val="20"/>
        <w:lang w:val="it-IT"/>
      </w:rPr>
      <w:t>Curriculum Vitae</w:t>
    </w:r>
    <w:r w:rsidR="002A00A2" w:rsidRPr="00356960">
      <w:rPr>
        <w:szCs w:val="20"/>
        <w:lang w:val="it-IT"/>
      </w:rPr>
      <w:tab/>
      <w:t xml:space="preserve"> </w:t>
    </w:r>
    <w:r w:rsidR="00C043E1">
      <w:rPr>
        <w:szCs w:val="20"/>
        <w:lang w:val="it-IT"/>
      </w:rPr>
      <w:t>Federica Barbieri</w:t>
    </w:r>
    <w:r w:rsidR="002A00A2" w:rsidRPr="00356960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F154071"/>
    <w:multiLevelType w:val="hybridMultilevel"/>
    <w:tmpl w:val="BB9C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4DD9"/>
    <w:multiLevelType w:val="hybridMultilevel"/>
    <w:tmpl w:val="8F4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3473D"/>
    <w:multiLevelType w:val="hybridMultilevel"/>
    <w:tmpl w:val="5A6C7C0A"/>
    <w:lvl w:ilvl="0" w:tplc="C2EC9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0"/>
    <w:rsid w:val="000047E1"/>
    <w:rsid w:val="00045269"/>
    <w:rsid w:val="000655BA"/>
    <w:rsid w:val="0006765B"/>
    <w:rsid w:val="000D3A22"/>
    <w:rsid w:val="0012259A"/>
    <w:rsid w:val="00172161"/>
    <w:rsid w:val="001E4D89"/>
    <w:rsid w:val="00223B5C"/>
    <w:rsid w:val="00264219"/>
    <w:rsid w:val="002A00A2"/>
    <w:rsid w:val="002B2867"/>
    <w:rsid w:val="002E2410"/>
    <w:rsid w:val="00327026"/>
    <w:rsid w:val="00356960"/>
    <w:rsid w:val="00364995"/>
    <w:rsid w:val="00395AF6"/>
    <w:rsid w:val="00407FC5"/>
    <w:rsid w:val="00451530"/>
    <w:rsid w:val="00523962"/>
    <w:rsid w:val="0054163E"/>
    <w:rsid w:val="005E17DB"/>
    <w:rsid w:val="00634FB5"/>
    <w:rsid w:val="006A20B3"/>
    <w:rsid w:val="006B5CD7"/>
    <w:rsid w:val="006C6A19"/>
    <w:rsid w:val="006D1DAB"/>
    <w:rsid w:val="006D6B7C"/>
    <w:rsid w:val="006F1824"/>
    <w:rsid w:val="00723EBE"/>
    <w:rsid w:val="00757EDA"/>
    <w:rsid w:val="00846895"/>
    <w:rsid w:val="008A4AE7"/>
    <w:rsid w:val="008A5E94"/>
    <w:rsid w:val="00937B6E"/>
    <w:rsid w:val="009718F1"/>
    <w:rsid w:val="009901D9"/>
    <w:rsid w:val="009D21A4"/>
    <w:rsid w:val="00AD23B3"/>
    <w:rsid w:val="00AE07FA"/>
    <w:rsid w:val="00BC3E11"/>
    <w:rsid w:val="00C043E1"/>
    <w:rsid w:val="00C04802"/>
    <w:rsid w:val="00C75B37"/>
    <w:rsid w:val="00C86CD8"/>
    <w:rsid w:val="00CF2DD3"/>
    <w:rsid w:val="00D72ED1"/>
    <w:rsid w:val="00DC6472"/>
    <w:rsid w:val="00DE0981"/>
    <w:rsid w:val="00E57599"/>
    <w:rsid w:val="00EB2834"/>
    <w:rsid w:val="00EE3656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CD7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CD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odeltesto3">
    <w:name w:val="Body Text 3"/>
    <w:basedOn w:val="Normale"/>
    <w:link w:val="Corpodeltesto3Carattere"/>
    <w:unhideWhenUsed/>
    <w:rsid w:val="006A20B3"/>
    <w:pPr>
      <w:spacing w:after="120"/>
    </w:pPr>
    <w:rPr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6A20B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aoaeaa">
    <w:name w:val="Eaoae?aa"/>
    <w:basedOn w:val="Normale"/>
    <w:rsid w:val="006A20B3"/>
    <w:pPr>
      <w:tabs>
        <w:tab w:val="center" w:pos="4153"/>
        <w:tab w:val="right" w:pos="8306"/>
      </w:tabs>
    </w:pPr>
    <w:rPr>
      <w:rFonts w:ascii="Times New Roman" w:eastAsia="Arial" w:hAnsi="Times New Roman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customStyle="1" w:styleId="orcid-id1">
    <w:name w:val="orcid-id1"/>
    <w:basedOn w:val="Carpredefinitoparagrafo"/>
    <w:rsid w:val="00CF2DD3"/>
    <w:rPr>
      <w:rFonts w:ascii="Gill Sans W02" w:hAnsi="Gill Sans W02" w:hint="default"/>
      <w:i w:val="0"/>
      <w:iCs w:val="0"/>
      <w:color w:val="494A4C"/>
      <w:position w:val="5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327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CD7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CD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odeltesto3">
    <w:name w:val="Body Text 3"/>
    <w:basedOn w:val="Normale"/>
    <w:link w:val="Corpodeltesto3Carattere"/>
    <w:unhideWhenUsed/>
    <w:rsid w:val="006A20B3"/>
    <w:pPr>
      <w:spacing w:after="120"/>
    </w:pPr>
    <w:rPr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6A20B3"/>
    <w:rPr>
      <w:rFonts w:ascii="Arial" w:eastAsia="SimSun" w:hAnsi="Arial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Eaoaeaa">
    <w:name w:val="Eaoae?aa"/>
    <w:basedOn w:val="Normale"/>
    <w:rsid w:val="006A20B3"/>
    <w:pPr>
      <w:tabs>
        <w:tab w:val="center" w:pos="4153"/>
        <w:tab w:val="right" w:pos="8306"/>
      </w:tabs>
    </w:pPr>
    <w:rPr>
      <w:rFonts w:ascii="Times New Roman" w:eastAsia="Arial" w:hAnsi="Times New Roman" w:cs="Times New Roman"/>
      <w:color w:val="auto"/>
      <w:spacing w:val="0"/>
      <w:kern w:val="0"/>
      <w:sz w:val="20"/>
      <w:szCs w:val="20"/>
      <w:lang w:val="en-US" w:eastAsia="ar-SA" w:bidi="ar-SA"/>
    </w:rPr>
  </w:style>
  <w:style w:type="character" w:customStyle="1" w:styleId="orcid-id1">
    <w:name w:val="orcid-id1"/>
    <w:basedOn w:val="Carpredefinitoparagrafo"/>
    <w:rsid w:val="00CF2DD3"/>
    <w:rPr>
      <w:rFonts w:ascii="Gill Sans W02" w:hAnsi="Gill Sans W02" w:hint="default"/>
      <w:i w:val="0"/>
      <w:iCs w:val="0"/>
      <w:color w:val="494A4C"/>
      <w:position w:val="5"/>
      <w:sz w:val="23"/>
      <w:szCs w:val="23"/>
    </w:rPr>
  </w:style>
  <w:style w:type="paragraph" w:styleId="Paragrafoelenco">
    <w:name w:val="List Paragraph"/>
    <w:basedOn w:val="Normale"/>
    <w:uiPriority w:val="34"/>
    <w:qFormat/>
    <w:rsid w:val="0032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oop.frontiersin.org/people/39369/overview?referrer=orcid_profil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esearcherid.com/rid/L-8753-2015" TargetMode="External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7F63-0518-4497-BFAE-69A37CE1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cp:lastModifiedBy>Federica B</cp:lastModifiedBy>
  <cp:revision>2</cp:revision>
  <cp:lastPrinted>1900-12-31T23:00:00Z</cp:lastPrinted>
  <dcterms:created xsi:type="dcterms:W3CDTF">2017-05-29T13:20:00Z</dcterms:created>
  <dcterms:modified xsi:type="dcterms:W3CDTF">2017-05-29T13:20:00Z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